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sz w:val="24"/>
          <w:szCs w:val="24"/>
        </w:rPr>
      </w:pPr>
      <w:r>
        <w:rPr>
          <w:sz w:val="24"/>
          <w:szCs w:val="24"/>
        </w:rPr>
        <w:t>ΟΔΗΓΟΣ ΔΙΑΧΕΙΡΙΣΗΣ ΑΠΟΒΛΗΤΩΝ ΣΤΙΣ ΠΥΡΟΠΛΗΚΤΕΣ ΠΕΡΙΟΧΕΣ ΑΤΤΙΚΗΣ</w:t>
      </w:r>
    </w:p>
    <w:p>
      <w:pPr>
        <w:pStyle w:val="Normal"/>
        <w:spacing w:lineRule="auto" w:line="240" w:before="0" w:after="0"/>
        <w:jc w:val="center"/>
        <w:rPr>
          <w:sz w:val="24"/>
          <w:szCs w:val="24"/>
        </w:rPr>
      </w:pPr>
      <w:r>
        <w:rPr>
          <w:sz w:val="24"/>
          <w:szCs w:val="24"/>
        </w:rPr>
        <w:t>ΔΗΜΟΙ ΡΑΦΗΝΑΣ-ΠΙΚΕΡΜΙΟΥ, ΜΑΡΑΘΩΝΑ- Ν.ΜΑΚΡΗΣ &amp; ΜΕΓΑΡΕΩΝ</w:t>
      </w:r>
    </w:p>
    <w:p>
      <w:pPr>
        <w:pStyle w:val="Normal"/>
        <w:spacing w:lineRule="auto" w:line="240" w:before="0" w:after="0"/>
        <w:jc w:val="center"/>
        <w:rPr>
          <w:sz w:val="24"/>
          <w:szCs w:val="24"/>
        </w:rPr>
      </w:pPr>
      <w:r>
        <w:rPr>
          <w:sz w:val="24"/>
          <w:szCs w:val="24"/>
        </w:rPr>
      </w:r>
    </w:p>
    <w:p>
      <w:pPr>
        <w:pStyle w:val="ListParagraph"/>
        <w:numPr>
          <w:ilvl w:val="0"/>
          <w:numId w:val="1"/>
        </w:numPr>
        <w:spacing w:lineRule="auto" w:line="240" w:before="0" w:after="0"/>
        <w:contextualSpacing/>
        <w:jc w:val="both"/>
        <w:rPr>
          <w:b/>
          <w:b/>
          <w:sz w:val="24"/>
          <w:szCs w:val="24"/>
        </w:rPr>
      </w:pPr>
      <w:r>
        <w:rPr>
          <w:b/>
          <w:sz w:val="24"/>
          <w:szCs w:val="24"/>
        </w:rPr>
        <w:t>Απόβλητα Εκσκαφών και Κατεδαφίσεων  (οικοδομικά)</w:t>
      </w:r>
    </w:p>
    <w:p>
      <w:pPr>
        <w:pStyle w:val="Normal"/>
        <w:spacing w:lineRule="auto" w:line="240" w:before="0" w:after="0"/>
        <w:jc w:val="both"/>
        <w:rPr/>
      </w:pPr>
      <w:r>
        <w:rPr>
          <w:sz w:val="24"/>
          <w:szCs w:val="24"/>
        </w:rPr>
        <w:t>Τη διαχείριση μικροποσοτήτων οικοδομικών αποβλήτων καθαρισμού των ιδιοκτησιών που επλήγησαν αναλαμβάνουν οι ΟΤΑ μέσω σύμβασης με Φορέα Συλλογικού Συστήματος Διαχείρισης (ΣΣΕΔ</w:t>
      </w:r>
      <w:r>
        <w:rPr>
          <w:sz w:val="24"/>
          <w:szCs w:val="24"/>
        </w:rPr>
        <w:t>)</w:t>
      </w:r>
      <w:r>
        <w:rPr>
          <w:sz w:val="24"/>
          <w:szCs w:val="24"/>
        </w:rPr>
        <w:t xml:space="preserve">. Ο ΕΟΑΝ έχει ήδη δώσει κατάλογο διαθέσιμων ΣΣΕΔ και έχει εξασφαλίσει χαμηλά τιμολόγια και διαθέσιμες μονάδες τον Αύγουστο. Οι Φορείς ΣΣΕΔ είναι επιφορτισμένοι επίσης με την παροχή τεχνικής υποστήριξης στους δήμους για την οργάνωση της διαδικασίας. </w:t>
      </w:r>
    </w:p>
    <w:p>
      <w:pPr>
        <w:pStyle w:val="Normal"/>
        <w:spacing w:lineRule="auto" w:line="240" w:before="0" w:after="0"/>
        <w:jc w:val="both"/>
        <w:rPr>
          <w:sz w:val="24"/>
          <w:szCs w:val="24"/>
        </w:rPr>
      </w:pPr>
      <w:r>
        <w:rPr>
          <w:sz w:val="24"/>
          <w:szCs w:val="24"/>
        </w:rPr>
        <w:t>Οι ΟΤΑ μπορούν επίσης να συνάπτουν σύμβαση με αδειοδοτημένο μεταφορέα – συλλέκτη για την τοποθέτηση κάδων τύπου σκάφης και περι-συλλογή με ειδικά οχήματα, ώστε να μεταφέρονται τα απόβλητα σε αδειοδοτημένες μονάδες.</w:t>
      </w:r>
    </w:p>
    <w:p>
      <w:pPr>
        <w:pStyle w:val="Normal"/>
        <w:spacing w:lineRule="auto" w:line="240" w:before="0" w:after="0"/>
        <w:jc w:val="both"/>
        <w:rPr>
          <w:sz w:val="24"/>
          <w:szCs w:val="24"/>
        </w:rPr>
      </w:pPr>
      <w:r>
        <w:rPr>
          <w:sz w:val="24"/>
          <w:szCs w:val="24"/>
        </w:rPr>
        <w:t>Οι πολίτες και οι επαγγελματίες των περιοχών παρακαλούνται να διαθέτουν τα απόβλητα στον ειδικό εξοπλισμό που θα τοποθετηθεί ή να επικοινωνούν με την Υπηρεσία καθαριότητας του Δήμου τους.</w:t>
      </w:r>
    </w:p>
    <w:p>
      <w:pPr>
        <w:pStyle w:val="Normal"/>
        <w:spacing w:lineRule="auto" w:line="240" w:before="0" w:after="0"/>
        <w:jc w:val="both"/>
        <w:rPr>
          <w:sz w:val="24"/>
          <w:szCs w:val="24"/>
        </w:rPr>
      </w:pPr>
      <w:r>
        <w:rPr>
          <w:sz w:val="24"/>
          <w:szCs w:val="24"/>
        </w:rPr>
        <w:t>Για την κατεδάφιση των κατοικιών και κτιρίων θα εκδοθεί ειδικός οδηγός.</w:t>
      </w:r>
    </w:p>
    <w:p>
      <w:pPr>
        <w:pStyle w:val="Normal"/>
        <w:spacing w:lineRule="auto" w:line="240" w:before="0" w:after="0"/>
        <w:jc w:val="both"/>
        <w:rPr>
          <w:sz w:val="24"/>
          <w:szCs w:val="24"/>
        </w:rPr>
      </w:pPr>
      <w:r>
        <w:rPr>
          <w:sz w:val="24"/>
          <w:szCs w:val="24"/>
        </w:rPr>
      </w:r>
    </w:p>
    <w:p>
      <w:pPr>
        <w:pStyle w:val="ListParagraph"/>
        <w:numPr>
          <w:ilvl w:val="0"/>
          <w:numId w:val="1"/>
        </w:numPr>
        <w:spacing w:lineRule="auto" w:line="240" w:before="0" w:after="0"/>
        <w:contextualSpacing/>
        <w:jc w:val="both"/>
        <w:rPr>
          <w:b/>
          <w:b/>
          <w:sz w:val="24"/>
          <w:szCs w:val="24"/>
        </w:rPr>
      </w:pPr>
      <w:r>
        <w:rPr>
          <w:b/>
          <w:sz w:val="24"/>
          <w:szCs w:val="24"/>
        </w:rPr>
        <w:t>Κλαδέματα πολιτών και ΟΤΑ (χλωρή βλάστηση, δασική και μη)</w:t>
      </w:r>
    </w:p>
    <w:p>
      <w:pPr>
        <w:pStyle w:val="Normal"/>
        <w:spacing w:lineRule="auto" w:line="240" w:before="0" w:after="0"/>
        <w:jc w:val="both"/>
        <w:rPr>
          <w:sz w:val="24"/>
          <w:szCs w:val="24"/>
        </w:rPr>
      </w:pPr>
      <w:r>
        <w:rPr>
          <w:sz w:val="24"/>
          <w:szCs w:val="24"/>
        </w:rPr>
        <w:t>Συλλογή και τεμαχισμός των κλαδεμάτων με μέριμνα των Δήμων και παράδοση στον ΕΔΣΝΑ/ΕΜΑΚ Λιοσίων. Η συλλογή, μεταφορά και τεμαχισμός μπορεί να γίνει είτε με ίδια μέσα του δήμου, είτε σε συνεργασία με τον ΕΔΣΝΑ, είτε με σύναψη σύμβασης με αναδόχους που αναλαμβάνουν τις σχετικές εργασίες. Υπάρχει ήδη προετοιμασία από την Περιφέρεια Αττικής και τον ΕΔΣΝΑ.</w:t>
      </w:r>
    </w:p>
    <w:p>
      <w:pPr>
        <w:pStyle w:val="Normal"/>
        <w:spacing w:lineRule="auto" w:line="240" w:before="0" w:after="0"/>
        <w:jc w:val="both"/>
        <w:rPr>
          <w:sz w:val="24"/>
          <w:szCs w:val="24"/>
        </w:rPr>
      </w:pPr>
      <w:r>
        <w:rPr>
          <w:sz w:val="24"/>
          <w:szCs w:val="24"/>
        </w:rPr>
        <w:t>Οι πολίτες και οι επαγγελματίες των περιοχών παρακαλούνται να εναποθέτουν τα φυτικά υπολείμματα στον ειδικό εξοπλισμό που θα τοποθετηθεί ή να επικοινωνούν με την Υπηρεσία καθαριότητας του Δήμου τους.</w:t>
      </w:r>
    </w:p>
    <w:p>
      <w:pPr>
        <w:pStyle w:val="Normal"/>
        <w:spacing w:lineRule="auto" w:line="240" w:before="0" w:after="0"/>
        <w:jc w:val="both"/>
        <w:rPr>
          <w:sz w:val="24"/>
          <w:szCs w:val="24"/>
        </w:rPr>
      </w:pPr>
      <w:r>
        <w:rPr>
          <w:sz w:val="24"/>
          <w:szCs w:val="24"/>
        </w:rPr>
      </w:r>
    </w:p>
    <w:p>
      <w:pPr>
        <w:pStyle w:val="ListParagraph"/>
        <w:numPr>
          <w:ilvl w:val="0"/>
          <w:numId w:val="1"/>
        </w:numPr>
        <w:spacing w:lineRule="auto" w:line="240" w:before="0" w:after="0"/>
        <w:contextualSpacing/>
        <w:jc w:val="both"/>
        <w:rPr>
          <w:b/>
          <w:b/>
          <w:sz w:val="24"/>
          <w:szCs w:val="24"/>
        </w:rPr>
      </w:pPr>
      <w:r>
        <w:rPr>
          <w:b/>
          <w:sz w:val="24"/>
          <w:szCs w:val="24"/>
        </w:rPr>
        <w:t xml:space="preserve">Καμένη βλάστηση, δασική ή μη </w:t>
      </w:r>
    </w:p>
    <w:p>
      <w:pPr>
        <w:pStyle w:val="Normal"/>
        <w:spacing w:lineRule="auto" w:line="240" w:before="0" w:after="0"/>
        <w:jc w:val="both"/>
        <w:rPr>
          <w:sz w:val="24"/>
          <w:szCs w:val="24"/>
        </w:rPr>
      </w:pPr>
      <w:r>
        <w:rPr>
          <w:sz w:val="24"/>
          <w:szCs w:val="24"/>
        </w:rPr>
        <w:t>Υλοτόμηση, συλλογή και τεμαχισμός με μέριμνα των τοπικών Δασικών Υπηρεσιών, του ΥΠΕΝ και των ΟΤΑ. Υπάρχουν ήδη εγκατεστημένα συνεργεία. Μεταφορά των καμένων υπολειμμάτων</w:t>
      </w:r>
      <w:bookmarkStart w:id="0" w:name="_Hlk521146637"/>
      <w:r>
        <w:rPr>
          <w:sz w:val="24"/>
          <w:szCs w:val="24"/>
        </w:rPr>
        <w:t xml:space="preserve"> και μηχανικός τεμαχισμός (ως άνω)</w:t>
      </w:r>
      <w:bookmarkEnd w:id="0"/>
      <w:r>
        <w:rPr>
          <w:sz w:val="24"/>
          <w:szCs w:val="24"/>
        </w:rPr>
        <w:t xml:space="preserve"> σε έκταση του Δήμου.</w:t>
      </w:r>
      <w:bookmarkStart w:id="1" w:name="_Hlk521145488"/>
      <w:bookmarkEnd w:id="1"/>
    </w:p>
    <w:p>
      <w:pPr>
        <w:pStyle w:val="Normal"/>
        <w:spacing w:lineRule="auto" w:line="240" w:before="0" w:after="0"/>
        <w:jc w:val="both"/>
        <w:rPr/>
      </w:pPr>
      <w:r>
        <w:rPr>
          <w:sz w:val="24"/>
          <w:szCs w:val="24"/>
        </w:rPr>
        <w:t>Αξιοποίηση των υπολειμμάτων από το</w:t>
      </w:r>
      <w:r>
        <w:rPr>
          <w:sz w:val="24"/>
          <w:szCs w:val="24"/>
        </w:rPr>
        <w:t>ν</w:t>
      </w:r>
      <w:r>
        <w:rPr>
          <w:sz w:val="24"/>
          <w:szCs w:val="24"/>
        </w:rPr>
        <w:t xml:space="preserve"> Δήμο ή από τη Δασική Υπηρεσία ως βελτιωτικό του εδάφους για τη φυσική ή τεχνητή αναγέννηση της καμένης περιοχής.</w:t>
      </w:r>
    </w:p>
    <w:p>
      <w:pPr>
        <w:pStyle w:val="Normal"/>
        <w:spacing w:lineRule="auto" w:line="240" w:before="0" w:after="0"/>
        <w:jc w:val="both"/>
        <w:rPr>
          <w:sz w:val="24"/>
          <w:szCs w:val="24"/>
        </w:rPr>
      </w:pPr>
      <w:r>
        <w:rPr>
          <w:sz w:val="24"/>
          <w:szCs w:val="24"/>
        </w:rPr>
        <w:t>Οι πολίτες παρακαλούνται να ειδοποιούν το</w:t>
      </w:r>
      <w:r>
        <w:rPr>
          <w:sz w:val="24"/>
          <w:szCs w:val="24"/>
        </w:rPr>
        <w:t>ν</w:t>
      </w:r>
      <w:r>
        <w:rPr>
          <w:sz w:val="24"/>
          <w:szCs w:val="24"/>
        </w:rPr>
        <w:t xml:space="preserve"> Δήμο ή το Δασαρχείο της περιοχής τους αν εντοπίσουν ανάγκη υλοτόμησης καμένων δέντρων.</w:t>
      </w:r>
    </w:p>
    <w:p>
      <w:pPr>
        <w:pStyle w:val="Normal"/>
        <w:spacing w:lineRule="auto" w:line="240" w:before="0" w:after="0"/>
        <w:jc w:val="both"/>
        <w:rPr>
          <w:sz w:val="24"/>
          <w:szCs w:val="24"/>
        </w:rPr>
      </w:pPr>
      <w:r>
        <w:rPr>
          <w:sz w:val="24"/>
          <w:szCs w:val="24"/>
        </w:rPr>
      </w:r>
    </w:p>
    <w:p>
      <w:pPr>
        <w:pStyle w:val="ListParagraph"/>
        <w:numPr>
          <w:ilvl w:val="0"/>
          <w:numId w:val="1"/>
        </w:numPr>
        <w:spacing w:lineRule="auto" w:line="240" w:before="0" w:after="0"/>
        <w:contextualSpacing/>
        <w:jc w:val="both"/>
        <w:rPr>
          <w:b/>
          <w:b/>
          <w:sz w:val="24"/>
          <w:szCs w:val="24"/>
        </w:rPr>
      </w:pPr>
      <w:r>
        <w:rPr>
          <w:b/>
          <w:sz w:val="24"/>
          <w:szCs w:val="24"/>
        </w:rPr>
        <w:t>Οχήματα - ΟΤΚΖ</w:t>
      </w:r>
    </w:p>
    <w:p>
      <w:pPr>
        <w:pStyle w:val="Normal"/>
        <w:spacing w:lineRule="auto" w:line="240" w:before="0" w:after="0"/>
        <w:jc w:val="both"/>
        <w:rPr/>
      </w:pPr>
      <w:r>
        <w:rPr>
          <w:sz w:val="24"/>
          <w:szCs w:val="24"/>
        </w:rPr>
        <w:t>Συγκέντρωση αυτών με συνεργασία των Δήμων και του Φορέα ΣΣΕΔ (ΕΔΟΕ). Εναλλακτική διαχείριση, αποκομιδή και ανακύκλωση οχημάτων από τον Φορέα ΣΣΕΔ με επίβλεψη του ΕΟΑΝ.</w:t>
      </w:r>
    </w:p>
    <w:p>
      <w:pPr>
        <w:pStyle w:val="Normal"/>
        <w:spacing w:lineRule="auto" w:line="240" w:before="0" w:after="0"/>
        <w:jc w:val="both"/>
        <w:rPr>
          <w:sz w:val="24"/>
          <w:szCs w:val="24"/>
        </w:rPr>
      </w:pPr>
      <w:r>
        <w:rPr>
          <w:sz w:val="24"/>
          <w:szCs w:val="24"/>
        </w:rPr>
        <w:t>Απλοποίηση διαδικασίας διαγραφής με μέριμνα των ΟΤΑ και της Περιφέρειας Αττικής, κατόπιν δήλωσης του πολίτη.</w:t>
      </w:r>
    </w:p>
    <w:p>
      <w:pPr>
        <w:pStyle w:val="Normal"/>
        <w:spacing w:lineRule="auto" w:line="240" w:before="0" w:after="0"/>
        <w:ind w:left="360" w:hanging="0"/>
        <w:jc w:val="both"/>
        <w:rPr>
          <w:sz w:val="24"/>
          <w:szCs w:val="24"/>
        </w:rPr>
      </w:pPr>
      <w:r>
        <w:rPr>
          <w:sz w:val="24"/>
          <w:szCs w:val="24"/>
        </w:rPr>
      </w:r>
    </w:p>
    <w:p>
      <w:pPr>
        <w:pStyle w:val="ListParagraph"/>
        <w:numPr>
          <w:ilvl w:val="0"/>
          <w:numId w:val="1"/>
        </w:numPr>
        <w:spacing w:lineRule="auto" w:line="240" w:before="0" w:after="0"/>
        <w:contextualSpacing/>
        <w:jc w:val="both"/>
        <w:rPr>
          <w:b/>
          <w:b/>
          <w:sz w:val="24"/>
          <w:szCs w:val="24"/>
        </w:rPr>
      </w:pPr>
      <w:r>
        <w:rPr>
          <w:b/>
          <w:sz w:val="24"/>
          <w:szCs w:val="24"/>
        </w:rPr>
        <w:t>Αμιαντούχα επικίνδυνα μικροαπόβλητα</w:t>
      </w:r>
    </w:p>
    <w:p>
      <w:pPr>
        <w:pStyle w:val="Normal"/>
        <w:spacing w:lineRule="auto" w:line="240" w:before="0" w:after="0"/>
        <w:jc w:val="both"/>
        <w:rPr/>
      </w:pPr>
      <w:r>
        <w:rPr>
          <w:sz w:val="24"/>
          <w:szCs w:val="24"/>
        </w:rPr>
        <w:t>Υπάρχουν 10 αδειοδοτημένες εταιρείες εγγεγραμμένες σε μητρώο του Υπουργείο Εργασίας, οι οποίες αναλαμβάνουν τον εντοπισμό και την συλλογή (</w:t>
      </w:r>
      <w:hyperlink r:id="rId2">
        <w:r>
          <w:rPr>
            <w:rStyle w:val="Style14"/>
            <w:sz w:val="24"/>
            <w:szCs w:val="24"/>
            <w:lang w:val="en-US"/>
          </w:rPr>
          <w:t>www</w:t>
        </w:r>
        <w:r>
          <w:rPr>
            <w:rStyle w:val="Style14"/>
            <w:sz w:val="24"/>
            <w:szCs w:val="24"/>
          </w:rPr>
          <w:t>.</w:t>
        </w:r>
        <w:r>
          <w:rPr>
            <w:rStyle w:val="Style14"/>
            <w:sz w:val="24"/>
            <w:szCs w:val="24"/>
            <w:lang w:val="en-US"/>
          </w:rPr>
          <w:t>ypakp</w:t>
        </w:r>
        <w:r>
          <w:rPr>
            <w:rStyle w:val="Style14"/>
            <w:sz w:val="24"/>
            <w:szCs w:val="24"/>
          </w:rPr>
          <w:t>.</w:t>
        </w:r>
        <w:r>
          <w:rPr>
            <w:rStyle w:val="Style14"/>
            <w:sz w:val="24"/>
            <w:szCs w:val="24"/>
            <w:lang w:val="en-US"/>
          </w:rPr>
          <w:t>gr</w:t>
        </w:r>
        <w:r>
          <w:rPr>
            <w:rStyle w:val="Style14"/>
            <w:sz w:val="24"/>
            <w:szCs w:val="24"/>
          </w:rPr>
          <w:t>/</w:t>
        </w:r>
        <w:r>
          <w:rPr>
            <w:rStyle w:val="Style14"/>
            <w:sz w:val="24"/>
            <w:szCs w:val="24"/>
            <w:lang w:val="en-US"/>
          </w:rPr>
          <w:t>uploads</w:t>
        </w:r>
        <w:r>
          <w:rPr>
            <w:rStyle w:val="Style14"/>
            <w:sz w:val="24"/>
            <w:szCs w:val="24"/>
          </w:rPr>
          <w:t>/</w:t>
        </w:r>
        <w:r>
          <w:rPr>
            <w:rStyle w:val="Style14"/>
            <w:sz w:val="24"/>
            <w:szCs w:val="24"/>
            <w:lang w:val="en-US"/>
          </w:rPr>
          <w:t>docs</w:t>
        </w:r>
        <w:r>
          <w:rPr>
            <w:rStyle w:val="Style14"/>
            <w:sz w:val="24"/>
            <w:szCs w:val="24"/>
          </w:rPr>
          <w:t>/11010.</w:t>
        </w:r>
        <w:r>
          <w:rPr>
            <w:rStyle w:val="Style14"/>
            <w:sz w:val="24"/>
            <w:szCs w:val="24"/>
            <w:lang w:val="en-US"/>
          </w:rPr>
          <w:t>pdf</w:t>
        </w:r>
      </w:hyperlink>
      <w:r>
        <w:rPr>
          <w:sz w:val="24"/>
          <w:szCs w:val="24"/>
        </w:rPr>
        <w:t>).</w:t>
      </w:r>
    </w:p>
    <w:p>
      <w:pPr>
        <w:pStyle w:val="Normal"/>
        <w:spacing w:lineRule="auto" w:line="240" w:before="0" w:after="0"/>
        <w:jc w:val="both"/>
        <w:rPr>
          <w:sz w:val="24"/>
          <w:szCs w:val="24"/>
        </w:rPr>
      </w:pPr>
      <w:r>
        <w:rPr>
          <w:sz w:val="24"/>
          <w:szCs w:val="24"/>
        </w:rPr>
        <w:t xml:space="preserve">Το ΥΠΕΝ έχει κινητοποιήσει τις εταιρείες ώστε ανά ΟΤΑ να γίνεται ενημέρωση πολιτών, ανίχνευση των υλικών και συλλογή/αποκομιδή/επεξεργασία. </w:t>
      </w:r>
    </w:p>
    <w:p>
      <w:pPr>
        <w:pStyle w:val="Normal"/>
        <w:spacing w:lineRule="auto" w:line="240" w:before="0" w:after="0"/>
        <w:jc w:val="both"/>
        <w:rPr>
          <w:sz w:val="24"/>
          <w:szCs w:val="24"/>
        </w:rPr>
      </w:pPr>
      <w:r>
        <w:rPr>
          <w:sz w:val="24"/>
          <w:szCs w:val="24"/>
        </w:rPr>
      </w:r>
    </w:p>
    <w:p>
      <w:pPr>
        <w:pStyle w:val="ListParagraph"/>
        <w:numPr>
          <w:ilvl w:val="0"/>
          <w:numId w:val="1"/>
        </w:numPr>
        <w:spacing w:lineRule="auto" w:line="240" w:before="0" w:after="0"/>
        <w:contextualSpacing/>
        <w:jc w:val="both"/>
        <w:rPr>
          <w:b/>
          <w:b/>
          <w:sz w:val="24"/>
          <w:szCs w:val="24"/>
        </w:rPr>
      </w:pPr>
      <w:r>
        <w:rPr>
          <w:b/>
          <w:sz w:val="24"/>
          <w:szCs w:val="24"/>
        </w:rPr>
        <w:t>Απόβλητα ηλεκτρικών-ηλεκτρονικών συσκευών και λαμπτήρων (καμένα ή μη)</w:t>
      </w:r>
    </w:p>
    <w:p>
      <w:pPr>
        <w:pStyle w:val="Normal"/>
        <w:spacing w:lineRule="auto" w:line="240" w:before="0" w:after="0"/>
        <w:jc w:val="both"/>
        <w:rPr/>
      </w:pPr>
      <w:r>
        <w:rPr>
          <w:sz w:val="24"/>
          <w:szCs w:val="24"/>
        </w:rPr>
        <w:t xml:space="preserve">Τα συστήματα ανακύκλωσης τοποθέτησαν σε συνεργασία με τους Δήμους ειδικά </w:t>
      </w:r>
      <w:r>
        <w:rPr>
          <w:sz w:val="24"/>
          <w:szCs w:val="24"/>
          <w:lang w:val="en-US"/>
        </w:rPr>
        <w:t>container</w:t>
      </w:r>
      <w:r>
        <w:rPr>
          <w:sz w:val="24"/>
          <w:szCs w:val="24"/>
          <w:lang w:val="en-US"/>
        </w:rPr>
        <w:t>s</w:t>
      </w:r>
      <w:r>
        <w:rPr>
          <w:sz w:val="24"/>
          <w:szCs w:val="24"/>
        </w:rPr>
        <w:t xml:space="preserve"> για όλα τα είδη σε συνεργασία με τον ΕΟΑΝ. Οι πολίτες ενημερώνονται από τους Δήμους για την ακριβή θέση των σημείων συλλογής. Εναλλακτικά, τα Συστήματα </w:t>
      </w:r>
      <w:r>
        <w:rPr>
          <w:sz w:val="24"/>
          <w:szCs w:val="24"/>
        </w:rPr>
        <w:t>σ</w:t>
      </w:r>
      <w:r>
        <w:rPr>
          <w:sz w:val="24"/>
          <w:szCs w:val="24"/>
        </w:rPr>
        <w:t>ε συνεννόηση με τους Δήμους συλλέγουν και μεταφέρουν ηλεκτρικές συσκευές κάποιες μέρες. Οι πολίτες και οι επαγγελματίες των περιοχών παρακαλούνται να επικοινωνούν με τους ΟΤΑ.</w:t>
      </w:r>
    </w:p>
    <w:p>
      <w:pPr>
        <w:pStyle w:val="Normal"/>
        <w:spacing w:lineRule="auto" w:line="240" w:before="0" w:after="0"/>
        <w:jc w:val="both"/>
        <w:rPr>
          <w:sz w:val="24"/>
          <w:szCs w:val="24"/>
        </w:rPr>
      </w:pPr>
      <w:r>
        <w:rPr>
          <w:sz w:val="24"/>
          <w:szCs w:val="24"/>
        </w:rPr>
      </w:r>
    </w:p>
    <w:p>
      <w:pPr>
        <w:pStyle w:val="ListParagraph"/>
        <w:numPr>
          <w:ilvl w:val="0"/>
          <w:numId w:val="1"/>
        </w:numPr>
        <w:spacing w:lineRule="auto" w:line="240" w:before="0" w:after="0"/>
        <w:contextualSpacing/>
        <w:jc w:val="both"/>
        <w:rPr>
          <w:b/>
          <w:b/>
          <w:sz w:val="24"/>
          <w:szCs w:val="24"/>
        </w:rPr>
      </w:pPr>
      <w:r>
        <w:rPr>
          <w:b/>
          <w:sz w:val="24"/>
          <w:szCs w:val="24"/>
        </w:rPr>
        <w:t>Ογκώδη απόβλητα οικιακού εξοπλισμού (καμένα ή μη)</w:t>
      </w:r>
    </w:p>
    <w:p>
      <w:pPr>
        <w:pStyle w:val="Normal"/>
        <w:spacing w:lineRule="auto" w:line="240" w:before="0" w:after="0"/>
        <w:jc w:val="both"/>
        <w:rPr>
          <w:sz w:val="24"/>
          <w:szCs w:val="24"/>
        </w:rPr>
      </w:pPr>
      <w:r>
        <w:rPr>
          <w:sz w:val="24"/>
          <w:szCs w:val="24"/>
        </w:rPr>
        <w:t>Οι ΟΤΑ θα συμβληθούν με αδειοδοτημένες εταιρείες για τη συλλογή και μεταφορά σε ειδικούς κάδους/</w:t>
      </w:r>
      <w:r>
        <w:rPr>
          <w:sz w:val="24"/>
          <w:szCs w:val="24"/>
          <w:lang w:val="en-US"/>
        </w:rPr>
        <w:t>container</w:t>
      </w:r>
      <w:r>
        <w:rPr>
          <w:sz w:val="24"/>
          <w:szCs w:val="24"/>
          <w:lang w:val="en-US"/>
        </w:rPr>
        <w:t>s</w:t>
      </w:r>
      <w:r>
        <w:rPr>
          <w:sz w:val="24"/>
          <w:szCs w:val="24"/>
        </w:rPr>
        <w:t xml:space="preserve"> ή θα οργανώσουν την απευθείας παραλαβή από τις ιδιοκτησίες των πολιτών. Οι ανάδοχοι θα διασφαλίζουν περαιτέρω την επεξεργασία/τεμαχισμό/ανάκτηση και τη διάθεση του υπολείμματος. </w:t>
      </w:r>
    </w:p>
    <w:p>
      <w:pPr>
        <w:pStyle w:val="Normal"/>
        <w:spacing w:lineRule="auto" w:line="240" w:before="0" w:after="0"/>
        <w:jc w:val="both"/>
        <w:rPr>
          <w:sz w:val="24"/>
          <w:szCs w:val="24"/>
        </w:rPr>
      </w:pPr>
      <w:r>
        <w:rPr>
          <w:sz w:val="24"/>
          <w:szCs w:val="24"/>
        </w:rPr>
        <w:t xml:space="preserve">Το ΥΠΕΝ θα στηρίξει και θα παρακολουθήσει τη διαδικασία με τα στοιχεία που διαθέτει από το Ηλεκτρονικό Μητρώο Αποβλήτων (ΗΜΑ). Τα μη αξιοποιήσιμα υπολείμματα θα αναλάβει ο ΕΔΣΝΑ  με βάση τα κριτήρια για τα ΑΣΑ. </w:t>
      </w:r>
    </w:p>
    <w:p>
      <w:pPr>
        <w:pStyle w:val="Normal"/>
        <w:spacing w:lineRule="auto" w:line="240" w:before="0" w:after="0"/>
        <w:jc w:val="both"/>
        <w:rPr>
          <w:sz w:val="24"/>
          <w:szCs w:val="24"/>
        </w:rPr>
      </w:pPr>
      <w:r>
        <w:rPr>
          <w:sz w:val="24"/>
          <w:szCs w:val="24"/>
        </w:rPr>
        <w:t>Οι πολίτες και οι επαγγελματίες των περιοχών παρακαλούνται να εναπο</w:t>
      </w:r>
      <w:bookmarkStart w:id="2" w:name="_GoBack"/>
      <w:bookmarkEnd w:id="2"/>
      <w:r>
        <w:rPr>
          <w:sz w:val="24"/>
          <w:szCs w:val="24"/>
        </w:rPr>
        <w:t>θέτουν τα απόβλητα στον ειδικό εξοπλισμό που θα τοποθετηθεί ή να επικοινωνούν με την Υπηρεσία καθαριότητας του Δήμου τους για την παραλαβή των ογκωδών αποβλήτων.</w:t>
      </w:r>
    </w:p>
    <w:p>
      <w:pPr>
        <w:pStyle w:val="Normal"/>
        <w:spacing w:lineRule="auto" w:line="240" w:before="0" w:after="0"/>
        <w:ind w:left="360" w:hanging="0"/>
        <w:jc w:val="both"/>
        <w:rPr>
          <w:sz w:val="24"/>
          <w:szCs w:val="24"/>
        </w:rPr>
      </w:pPr>
      <w:r>
        <w:rPr>
          <w:sz w:val="24"/>
          <w:szCs w:val="24"/>
        </w:rPr>
      </w:r>
    </w:p>
    <w:p>
      <w:pPr>
        <w:pStyle w:val="Normal"/>
        <w:spacing w:lineRule="auto" w:line="240" w:before="0" w:after="0"/>
        <w:ind w:left="360" w:hanging="0"/>
        <w:jc w:val="both"/>
        <w:rPr>
          <w:sz w:val="24"/>
          <w:szCs w:val="24"/>
        </w:rPr>
      </w:pPr>
      <w:r>
        <w:rPr>
          <w:sz w:val="24"/>
          <w:szCs w:val="24"/>
        </w:rPr>
      </w:r>
    </w:p>
    <w:p>
      <w:pPr>
        <w:pStyle w:val="Normal"/>
        <w:spacing w:lineRule="auto" w:line="240" w:before="0" w:after="0"/>
        <w:ind w:left="360" w:hanging="0"/>
        <w:jc w:val="both"/>
        <w:rPr>
          <w:sz w:val="24"/>
          <w:szCs w:val="24"/>
        </w:rPr>
      </w:pPr>
      <w:r>
        <w:rPr>
          <w:sz w:val="24"/>
          <w:szCs w:val="24"/>
        </w:rPr>
      </w:r>
    </w:p>
    <w:p>
      <w:pPr>
        <w:pStyle w:val="Normal"/>
        <w:spacing w:lineRule="auto" w:line="240" w:before="0" w:after="0"/>
        <w:ind w:left="360" w:hanging="0"/>
        <w:jc w:val="both"/>
        <w:rPr>
          <w:sz w:val="24"/>
          <w:szCs w:val="24"/>
        </w:rPr>
      </w:pPr>
      <w:r>
        <w:rPr>
          <w:sz w:val="24"/>
          <w:szCs w:val="24"/>
        </w:rPr>
      </w:r>
    </w:p>
    <w:p>
      <w:pPr>
        <w:pStyle w:val="Normal"/>
        <w:spacing w:lineRule="auto" w:line="240" w:before="0" w:after="0"/>
        <w:ind w:left="360" w:hanging="0"/>
        <w:jc w:val="both"/>
        <w:rPr>
          <w:sz w:val="24"/>
          <w:szCs w:val="24"/>
        </w:rPr>
      </w:pPr>
      <w:r>
        <w:rPr>
          <w:sz w:val="24"/>
          <w:szCs w:val="24"/>
        </w:rPr>
      </w:r>
    </w:p>
    <w:p>
      <w:pPr>
        <w:pStyle w:val="Normal"/>
        <w:spacing w:lineRule="auto" w:line="240" w:before="0" w:after="0"/>
        <w:ind w:left="360" w:hanging="0"/>
        <w:jc w:val="both"/>
        <w:rPr>
          <w:sz w:val="24"/>
          <w:szCs w:val="24"/>
        </w:rPr>
      </w:pPr>
      <w:r>
        <w:rPr>
          <w:sz w:val="24"/>
          <w:szCs w:val="24"/>
        </w:rPr>
      </w:r>
    </w:p>
    <w:p>
      <w:pPr>
        <w:pStyle w:val="Normal"/>
        <w:spacing w:lineRule="auto" w:line="240" w:before="0" w:after="0"/>
        <w:ind w:left="360" w:hanging="0"/>
        <w:jc w:val="both"/>
        <w:rPr>
          <w:sz w:val="24"/>
          <w:szCs w:val="24"/>
        </w:rPr>
      </w:pPr>
      <w:r>
        <w:rPr>
          <w:sz w:val="24"/>
          <w:szCs w:val="24"/>
        </w:rPr>
      </w:r>
    </w:p>
    <w:p>
      <w:pPr>
        <w:pStyle w:val="Normal"/>
        <w:spacing w:lineRule="auto" w:line="240" w:before="0" w:after="0"/>
        <w:ind w:left="360" w:hanging="0"/>
        <w:jc w:val="both"/>
        <w:rPr>
          <w:sz w:val="24"/>
          <w:szCs w:val="24"/>
        </w:rPr>
      </w:pPr>
      <w:r>
        <w:rPr>
          <w:sz w:val="24"/>
          <w:szCs w:val="24"/>
        </w:rPr>
      </w:r>
    </w:p>
    <w:p>
      <w:pPr>
        <w:pStyle w:val="Normal"/>
        <w:spacing w:lineRule="auto" w:line="240" w:before="0" w:after="0"/>
        <w:ind w:left="360" w:hanging="0"/>
        <w:jc w:val="both"/>
        <w:rPr>
          <w:sz w:val="24"/>
          <w:szCs w:val="24"/>
        </w:rPr>
      </w:pPr>
      <w:r>
        <w:rPr>
          <w:sz w:val="24"/>
          <w:szCs w:val="24"/>
        </w:rPr>
      </w:r>
    </w:p>
    <w:p>
      <w:pPr>
        <w:pStyle w:val="Normal"/>
        <w:spacing w:lineRule="auto" w:line="240" w:before="0" w:after="0"/>
        <w:ind w:left="360" w:hanging="0"/>
        <w:jc w:val="both"/>
        <w:rPr/>
      </w:pPr>
      <w:r>
        <w:rPr/>
      </w:r>
    </w:p>
    <w:sectPr>
      <w:type w:val="nextPage"/>
      <w:pgSz w:w="11906" w:h="16838"/>
      <w:pgMar w:left="1080" w:right="108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yle14">
    <w:name w:val="Σύνδεσμος διαδικτύου"/>
    <w:basedOn w:val="DefaultParagraphFont"/>
    <w:uiPriority w:val="99"/>
    <w:unhideWhenUsed/>
    <w:rsid w:val="00681179"/>
    <w:rPr>
      <w:color w:val="0563C1" w:themeColor="hyperlink"/>
      <w:u w:val="single"/>
    </w:rPr>
  </w:style>
  <w:style w:type="character" w:styleId="UnresolvedMention" w:customStyle="1">
    <w:name w:val="Unresolved Mention"/>
    <w:basedOn w:val="DefaultParagraphFont"/>
    <w:uiPriority w:val="99"/>
    <w:semiHidden/>
    <w:unhideWhenUsed/>
    <w:qFormat/>
    <w:rsid w:val="00681179"/>
    <w:rPr>
      <w:color w:val="808080"/>
      <w:shd w:fill="E6E6E6" w:val="clear"/>
    </w:rPr>
  </w:style>
  <w:style w:type="character" w:styleId="FollowedHyperlink">
    <w:name w:val="FollowedHyperlink"/>
    <w:basedOn w:val="DefaultParagraphFont"/>
    <w:uiPriority w:val="99"/>
    <w:semiHidden/>
    <w:unhideWhenUsed/>
    <w:qFormat/>
    <w:rsid w:val="00681179"/>
    <w:rPr>
      <w:color w:val="954F72" w:themeColor="followedHyperlink"/>
      <w:u w:val="single"/>
    </w:rPr>
  </w:style>
  <w:style w:type="character" w:styleId="Char" w:customStyle="1">
    <w:name w:val="Κείμενο πλαισίου Char"/>
    <w:basedOn w:val="DefaultParagraphFont"/>
    <w:link w:val="a4"/>
    <w:uiPriority w:val="99"/>
    <w:semiHidden/>
    <w:qFormat/>
    <w:rsid w:val="00ae639e"/>
    <w:rPr>
      <w:rFonts w:ascii="Tahoma" w:hAnsi="Tahoma" w:cs="Tahoma"/>
      <w:sz w:val="16"/>
      <w:szCs w:val="16"/>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sz w:val="24"/>
      <w:szCs w:val="24"/>
      <w:lang w:val="en-US"/>
    </w:rPr>
  </w:style>
  <w:style w:type="character" w:styleId="ListLabel10">
    <w:name w:val="ListLabel 10"/>
    <w:qFormat/>
    <w:rPr>
      <w:sz w:val="24"/>
      <w:szCs w:val="24"/>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ListParagraph">
    <w:name w:val="List Paragraph"/>
    <w:basedOn w:val="Normal"/>
    <w:uiPriority w:val="34"/>
    <w:qFormat/>
    <w:rsid w:val="003c486a"/>
    <w:pPr>
      <w:spacing w:before="0" w:after="160"/>
      <w:ind w:left="720" w:hanging="0"/>
      <w:contextualSpacing/>
    </w:pPr>
    <w:rPr/>
  </w:style>
  <w:style w:type="paragraph" w:styleId="BalloonText">
    <w:name w:val="Balloon Text"/>
    <w:basedOn w:val="Normal"/>
    <w:link w:val="Char"/>
    <w:uiPriority w:val="99"/>
    <w:semiHidden/>
    <w:unhideWhenUsed/>
    <w:qFormat/>
    <w:rsid w:val="00ae639e"/>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ypakp.gr/uploads/docs/11010.pd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0FD2B-2EA1-4266-8201-6C690E90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LibreOffice/6.0.2.1$Windows_x86 LibreOffice_project/f7f06a8f319e4b62f9bc5095aa112a65d2f3ac89</Application>
  <Pages>2</Pages>
  <Words>590</Words>
  <Characters>3542</Characters>
  <CharactersWithSpaces>4107</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2018-08-06T17:12:00Z</dcterms:created>
  <dc:creator>Charalampos Vrentzos / carpo</dc:creator>
  <dc:description/>
  <dc:language>el-GR</dc:language>
  <cp:lastModifiedBy/>
  <cp:lastPrinted>2018-08-06T16:44:00Z</cp:lastPrinted>
  <dcterms:modified xsi:type="dcterms:W3CDTF">2018-08-06T22:04:06Z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