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10" w:rsidRPr="006C5AFD" w:rsidRDefault="00B81910" w:rsidP="006C5AFD">
      <w:pPr>
        <w:pStyle w:val="a6"/>
        <w:jc w:val="center"/>
        <w:rPr>
          <w:sz w:val="44"/>
          <w:szCs w:val="44"/>
        </w:rPr>
      </w:pPr>
      <w:bookmarkStart w:id="0" w:name="_GoBack"/>
      <w:r w:rsidRPr="006C5AFD">
        <w:rPr>
          <w:sz w:val="44"/>
          <w:szCs w:val="44"/>
        </w:rPr>
        <w:t>ΕΞΟΙΚΟΝΟΜΗΣΗ ΚΑΤ</w:t>
      </w:r>
      <w:r w:rsidR="00160E60" w:rsidRPr="006C5AFD">
        <w:rPr>
          <w:sz w:val="44"/>
          <w:szCs w:val="44"/>
        </w:rPr>
        <w:t>’</w:t>
      </w:r>
      <w:r w:rsidRPr="006C5AFD">
        <w:rPr>
          <w:sz w:val="44"/>
          <w:szCs w:val="44"/>
        </w:rPr>
        <w:t xml:space="preserve"> ΟΙΚΟΝ</w:t>
      </w:r>
      <w:r w:rsidR="00160E60" w:rsidRPr="006C5AFD">
        <w:rPr>
          <w:sz w:val="44"/>
          <w:szCs w:val="44"/>
        </w:rPr>
        <w:t xml:space="preserve"> ΙΙ</w:t>
      </w:r>
      <w:r w:rsidR="006C5AFD" w:rsidRPr="006C5AFD">
        <w:rPr>
          <w:sz w:val="44"/>
          <w:szCs w:val="44"/>
        </w:rPr>
        <w:t xml:space="preserve"> – β’ φάση</w:t>
      </w:r>
    </w:p>
    <w:p w:rsidR="006C5AFD" w:rsidRDefault="00B81910" w:rsidP="006C5AFD">
      <w:pPr>
        <w:spacing w:after="120" w:line="276" w:lineRule="auto"/>
        <w:jc w:val="both"/>
      </w:pPr>
      <w:r>
        <w:t xml:space="preserve">Το </w:t>
      </w:r>
      <w:r w:rsidR="00FC185B">
        <w:t>π</w:t>
      </w:r>
      <w:r>
        <w:t xml:space="preserve">ρόγραμμα </w:t>
      </w:r>
      <w:r w:rsidR="00FC185B" w:rsidRPr="00FC185B">
        <w:t>«Εξοικονόμηση κατ’ Οίκον</w:t>
      </w:r>
      <w:r w:rsidR="006C5AFD">
        <w:t xml:space="preserve"> ΙΙ</w:t>
      </w:r>
      <w:r w:rsidR="00FC185B" w:rsidRPr="00FC185B">
        <w:t xml:space="preserve">» </w:t>
      </w:r>
      <w:r>
        <w:t xml:space="preserve">συνίσταται στην παροχή κινήτρων για </w:t>
      </w:r>
      <w:r w:rsidR="0041595F">
        <w:t>την υλοποίηση παρεμβάσεων με στόχο την</w:t>
      </w:r>
      <w:r>
        <w:t xml:space="preserve"> εξοικον</w:t>
      </w:r>
      <w:r w:rsidR="0041595F">
        <w:t xml:space="preserve">όμηση ενέργειας στο οικιακό κτιριακό τομέα, </w:t>
      </w:r>
      <w:r>
        <w:t xml:space="preserve">τη </w:t>
      </w:r>
      <w:r w:rsidR="00207B5D">
        <w:t>μείωση</w:t>
      </w:r>
      <w:r>
        <w:t xml:space="preserve"> </w:t>
      </w:r>
      <w:r w:rsidR="0041595F">
        <w:t>της ενεργειακής κατανάλωσης και κατά συνέπεια του ενεργειακού κόστους των νοικοκυριών.</w:t>
      </w:r>
    </w:p>
    <w:p w:rsidR="00782394" w:rsidRDefault="00782394" w:rsidP="00782394">
      <w:pPr>
        <w:pStyle w:val="1"/>
      </w:pPr>
      <w:r>
        <w:t xml:space="preserve">απολογισμός α’ </w:t>
      </w:r>
      <w:r w:rsidRPr="00782394">
        <w:t>φάσης</w:t>
      </w:r>
    </w:p>
    <w:p w:rsidR="006C5AFD" w:rsidRDefault="006C5AFD" w:rsidP="006C5AFD">
      <w:pPr>
        <w:spacing w:after="120" w:line="276" w:lineRule="auto"/>
        <w:jc w:val="both"/>
      </w:pPr>
      <w:r>
        <w:t>Κατά την α’ φάση υλοποίησής του χρηματοδοτήθηκαν παρεμβάσεις συνολικού προϋπολογισμού 640 εκατ. ευρώ, εκ των οποίων τα 362 εκατ. ευρώ χρηματοδοτήθηκαν μέσω επιδοτήσεων από πόρους του ΕΣΠΑ και του ΠΔΕ. Συνολικά αναβαθμίστηκαν ενεργειακά περί τις 43.000 κατοικίες.</w:t>
      </w:r>
    </w:p>
    <w:p w:rsidR="00FC185B" w:rsidRDefault="006C5AFD" w:rsidP="006C5AFD">
      <w:pPr>
        <w:spacing w:after="120" w:line="276" w:lineRule="auto"/>
        <w:jc w:val="both"/>
      </w:pPr>
      <w:r>
        <w:t xml:space="preserve">Στη β’ φάση  </w:t>
      </w:r>
      <w:r w:rsidR="00FC185B" w:rsidRPr="00FC185B">
        <w:t xml:space="preserve">Οι διαθέσιμοι πόροι </w:t>
      </w:r>
      <w:r>
        <w:t xml:space="preserve">θα ανέλθουν </w:t>
      </w:r>
      <w:r w:rsidR="00FC185B" w:rsidRPr="00FC185B">
        <w:t>σε 2</w:t>
      </w:r>
      <w:r w:rsidR="00FC185B">
        <w:t>50</w:t>
      </w:r>
      <w:r w:rsidR="00FC185B" w:rsidRPr="00FC185B">
        <w:t xml:space="preserve"> εκ</w:t>
      </w:r>
      <w:r w:rsidR="00FC185B">
        <w:t>ατ</w:t>
      </w:r>
      <w:r w:rsidR="00FC185B" w:rsidRPr="00FC185B">
        <w:t xml:space="preserve">. </w:t>
      </w:r>
      <w:r w:rsidR="00FC185B">
        <w:t>ε</w:t>
      </w:r>
      <w:r w:rsidR="00FC185B" w:rsidRPr="00FC185B">
        <w:t xml:space="preserve">υρώ, </w:t>
      </w:r>
      <w:r>
        <w:t>τα οποία εκτιμάται ότι θα χρηματοδοτήσουν παρεμβάσεις σε 20</w:t>
      </w:r>
      <w:r w:rsidR="00FC185B" w:rsidRPr="00FC185B">
        <w:t>.</w:t>
      </w:r>
      <w:r>
        <w:t>000 – 25.000 κατοικίες.</w:t>
      </w:r>
    </w:p>
    <w:p w:rsidR="00782394" w:rsidRDefault="00782394" w:rsidP="00782394">
      <w:pPr>
        <w:pStyle w:val="1"/>
      </w:pPr>
      <w:r>
        <w:t xml:space="preserve">περίγραμμα </w:t>
      </w:r>
      <w:proofErr w:type="spellStart"/>
      <w:r>
        <w:t>β΄φάσης</w:t>
      </w:r>
      <w:proofErr w:type="spellEnd"/>
    </w:p>
    <w:p w:rsidR="00AC79CE" w:rsidRPr="00AC79CE" w:rsidRDefault="00D5133C" w:rsidP="006C5AFD">
      <w:pPr>
        <w:spacing w:after="120" w:line="276" w:lineRule="auto"/>
        <w:jc w:val="both"/>
      </w:pPr>
      <w:r>
        <w:t>Στο</w:t>
      </w:r>
      <w:r w:rsidR="00160E60">
        <w:t xml:space="preserve"> πρόγραμμα </w:t>
      </w:r>
      <w:r>
        <w:t xml:space="preserve"> μπορούν να ενταχθούν μονοκατοικίες, πολυκατοικίες και μεμονωμένα διαμερίσματα, τα οποία διαθέτουν οικοδομική άδεια ή άλλον νομιμοποιητικό έγγραφο. </w:t>
      </w:r>
      <w:r w:rsidR="006007C2">
        <w:t xml:space="preserve">Ειδικά </w:t>
      </w:r>
      <w:r>
        <w:t>οι</w:t>
      </w:r>
      <w:r w:rsidR="006007C2">
        <w:t xml:space="preserve"> </w:t>
      </w:r>
      <w:r>
        <w:t xml:space="preserve">πολυκατοικίες έχουν δικαίωμα ένταξης στο πρόγραμμα, για τις οποίες θα ισχύει ότι </w:t>
      </w:r>
      <w:r w:rsidR="006007C2">
        <w:t xml:space="preserve">η κάθε μια θα λογίζεται ως </w:t>
      </w:r>
      <w:r>
        <w:t>μία</w:t>
      </w:r>
      <w:r w:rsidR="006007C2">
        <w:t xml:space="preserve"> κατοικία</w:t>
      </w:r>
      <w:r>
        <w:t xml:space="preserve">, </w:t>
      </w:r>
      <w:r w:rsidR="007A2AF6">
        <w:t xml:space="preserve">ως μία </w:t>
      </w:r>
      <w:r>
        <w:t xml:space="preserve">μονάδα. </w:t>
      </w:r>
      <w:r w:rsidR="00FC185B">
        <w:t>Μ</w:t>
      </w:r>
      <w:r w:rsidR="007A2AF6">
        <w:t>πορούν να συμμετέχουν</w:t>
      </w:r>
      <w:r w:rsidR="00AC79CE" w:rsidRPr="00AC79CE">
        <w:t xml:space="preserve"> φυσικά πρόσωπα τα οποία έχουν το δικαίωμα κύριας  κυριότητας και πληρούν τα π</w:t>
      </w:r>
      <w:r w:rsidR="00AC79CE">
        <w:t>αρακάτ</w:t>
      </w:r>
      <w:r w:rsidR="00AC79CE" w:rsidRPr="00AC79CE">
        <w:t>ω εισοδηματικά κριτήρια.</w:t>
      </w:r>
      <w:r w:rsidR="006007C2">
        <w:t xml:space="preserve"> </w:t>
      </w:r>
    </w:p>
    <w:tbl>
      <w:tblPr>
        <w:tblStyle w:val="7"/>
        <w:tblW w:w="8969" w:type="dxa"/>
        <w:tblLayout w:type="fixed"/>
        <w:tblLook w:val="04A0"/>
      </w:tblPr>
      <w:tblGrid>
        <w:gridCol w:w="582"/>
        <w:gridCol w:w="1418"/>
        <w:gridCol w:w="1559"/>
        <w:gridCol w:w="1923"/>
        <w:gridCol w:w="1877"/>
        <w:gridCol w:w="1610"/>
      </w:tblGrid>
      <w:tr w:rsidR="00B81910" w:rsidRPr="00B81910" w:rsidTr="006C5AFD">
        <w:trPr>
          <w:cnfStyle w:val="100000000000"/>
          <w:trHeight w:val="266"/>
        </w:trPr>
        <w:tc>
          <w:tcPr>
            <w:cnfStyle w:val="001000000000"/>
            <w:tcW w:w="582" w:type="dxa"/>
          </w:tcPr>
          <w:p w:rsidR="00B81910" w:rsidRPr="00B81910" w:rsidRDefault="00B81910" w:rsidP="006C5AFD">
            <w:pPr>
              <w:spacing w:after="120" w:line="276" w:lineRule="auto"/>
              <w:jc w:val="both"/>
            </w:pPr>
          </w:p>
        </w:tc>
        <w:tc>
          <w:tcPr>
            <w:tcW w:w="1418" w:type="dxa"/>
            <w:noWrap/>
            <w:hideMark/>
          </w:tcPr>
          <w:p w:rsidR="00B81910" w:rsidRPr="006C5AFD" w:rsidRDefault="006C5AFD" w:rsidP="006C5AFD">
            <w:pPr>
              <w:spacing w:after="120" w:line="276" w:lineRule="auto"/>
              <w:jc w:val="center"/>
              <w:cnfStyle w:val="100000000000"/>
              <w:rPr>
                <w:sz w:val="20"/>
                <w:szCs w:val="20"/>
              </w:rPr>
            </w:pPr>
            <w:r w:rsidRPr="006C5AFD">
              <w:rPr>
                <w:sz w:val="20"/>
                <w:szCs w:val="20"/>
              </w:rPr>
              <w:t>α</w:t>
            </w:r>
            <w:r w:rsidR="00B81910" w:rsidRPr="006C5AFD">
              <w:rPr>
                <w:sz w:val="20"/>
                <w:szCs w:val="20"/>
              </w:rPr>
              <w:t>τομικό</w:t>
            </w:r>
          </w:p>
          <w:p w:rsidR="00B81910" w:rsidRDefault="006C5AFD" w:rsidP="006C5AFD">
            <w:pPr>
              <w:spacing w:after="120" w:line="276" w:lineRule="auto"/>
              <w:jc w:val="center"/>
              <w:cnfStyle w:val="100000000000"/>
              <w:rPr>
                <w:sz w:val="20"/>
                <w:szCs w:val="20"/>
              </w:rPr>
            </w:pPr>
            <w:r w:rsidRPr="006C5AFD">
              <w:rPr>
                <w:sz w:val="20"/>
                <w:szCs w:val="20"/>
              </w:rPr>
              <w:t>ε</w:t>
            </w:r>
            <w:r w:rsidR="00B81910" w:rsidRPr="006C5AFD">
              <w:rPr>
                <w:sz w:val="20"/>
                <w:szCs w:val="20"/>
              </w:rPr>
              <w:t>ισόδημα</w:t>
            </w:r>
          </w:p>
          <w:p w:rsidR="00417BDC" w:rsidRPr="006C5AFD" w:rsidRDefault="00417BDC" w:rsidP="006C5AFD">
            <w:pPr>
              <w:spacing w:after="120" w:line="276" w:lineRule="auto"/>
              <w:jc w:val="center"/>
              <w:cnfStyle w:val="100000000000"/>
              <w:rPr>
                <w:sz w:val="20"/>
                <w:szCs w:val="20"/>
              </w:rPr>
            </w:pPr>
            <w:r>
              <w:rPr>
                <w:sz w:val="20"/>
                <w:szCs w:val="20"/>
              </w:rPr>
              <w:t>(σε ευρώ)</w:t>
            </w:r>
          </w:p>
        </w:tc>
        <w:tc>
          <w:tcPr>
            <w:tcW w:w="1559" w:type="dxa"/>
            <w:noWrap/>
            <w:hideMark/>
          </w:tcPr>
          <w:p w:rsidR="00B81910" w:rsidRPr="006C5AFD" w:rsidRDefault="006C5AFD" w:rsidP="006C5AFD">
            <w:pPr>
              <w:spacing w:after="120" w:line="276" w:lineRule="auto"/>
              <w:jc w:val="center"/>
              <w:cnfStyle w:val="100000000000"/>
              <w:rPr>
                <w:sz w:val="20"/>
                <w:szCs w:val="20"/>
              </w:rPr>
            </w:pPr>
            <w:r w:rsidRPr="006C5AFD">
              <w:rPr>
                <w:sz w:val="20"/>
                <w:szCs w:val="20"/>
              </w:rPr>
              <w:t>ο</w:t>
            </w:r>
            <w:r w:rsidR="00B81910" w:rsidRPr="006C5AFD">
              <w:rPr>
                <w:sz w:val="20"/>
                <w:szCs w:val="20"/>
              </w:rPr>
              <w:t>ικογενειακό</w:t>
            </w:r>
          </w:p>
          <w:p w:rsidR="00B81910" w:rsidRDefault="006C5AFD" w:rsidP="006C5AFD">
            <w:pPr>
              <w:spacing w:after="120" w:line="276" w:lineRule="auto"/>
              <w:jc w:val="center"/>
              <w:cnfStyle w:val="100000000000"/>
              <w:rPr>
                <w:sz w:val="20"/>
                <w:szCs w:val="20"/>
              </w:rPr>
            </w:pPr>
            <w:r w:rsidRPr="006C5AFD">
              <w:rPr>
                <w:sz w:val="20"/>
                <w:szCs w:val="20"/>
              </w:rPr>
              <w:t>ε</w:t>
            </w:r>
            <w:r w:rsidR="00B81910" w:rsidRPr="006C5AFD">
              <w:rPr>
                <w:sz w:val="20"/>
                <w:szCs w:val="20"/>
              </w:rPr>
              <w:t>ισόδημα</w:t>
            </w:r>
          </w:p>
          <w:p w:rsidR="00417BDC" w:rsidRPr="006C5AFD" w:rsidRDefault="00417BDC" w:rsidP="006C5AFD">
            <w:pPr>
              <w:spacing w:after="120" w:line="276" w:lineRule="auto"/>
              <w:jc w:val="center"/>
              <w:cnfStyle w:val="100000000000"/>
              <w:rPr>
                <w:sz w:val="20"/>
                <w:szCs w:val="20"/>
              </w:rPr>
            </w:pPr>
            <w:r>
              <w:rPr>
                <w:sz w:val="20"/>
                <w:szCs w:val="20"/>
              </w:rPr>
              <w:t>(σε ευρώ)</w:t>
            </w:r>
          </w:p>
        </w:tc>
        <w:tc>
          <w:tcPr>
            <w:tcW w:w="1923" w:type="dxa"/>
            <w:noWrap/>
            <w:hideMark/>
          </w:tcPr>
          <w:p w:rsidR="00B81910" w:rsidRPr="006C5AFD" w:rsidRDefault="006C5AFD" w:rsidP="006C5AFD">
            <w:pPr>
              <w:spacing w:after="120" w:line="276" w:lineRule="auto"/>
              <w:jc w:val="center"/>
              <w:cnfStyle w:val="100000000000"/>
              <w:rPr>
                <w:sz w:val="20"/>
                <w:szCs w:val="20"/>
              </w:rPr>
            </w:pPr>
            <w:r w:rsidRPr="006C5AFD">
              <w:rPr>
                <w:sz w:val="20"/>
                <w:szCs w:val="20"/>
              </w:rPr>
              <w:t>β</w:t>
            </w:r>
            <w:r w:rsidR="00B81910" w:rsidRPr="006C5AFD">
              <w:rPr>
                <w:sz w:val="20"/>
                <w:szCs w:val="20"/>
              </w:rPr>
              <w:t xml:space="preserve">ασικό </w:t>
            </w:r>
            <w:r w:rsidRPr="006C5AFD">
              <w:rPr>
                <w:sz w:val="20"/>
                <w:szCs w:val="20"/>
              </w:rPr>
              <w:t>π</w:t>
            </w:r>
            <w:r w:rsidR="00B81910" w:rsidRPr="006C5AFD">
              <w:rPr>
                <w:sz w:val="20"/>
                <w:szCs w:val="20"/>
              </w:rPr>
              <w:t xml:space="preserve">οσοστό </w:t>
            </w:r>
            <w:r w:rsidRPr="006C5AFD">
              <w:rPr>
                <w:sz w:val="20"/>
                <w:szCs w:val="20"/>
              </w:rPr>
              <w:t>ε</w:t>
            </w:r>
            <w:r w:rsidR="00B81910" w:rsidRPr="006C5AFD">
              <w:rPr>
                <w:sz w:val="20"/>
                <w:szCs w:val="20"/>
              </w:rPr>
              <w:t>πιχορήγησης</w:t>
            </w:r>
          </w:p>
        </w:tc>
        <w:tc>
          <w:tcPr>
            <w:tcW w:w="1877" w:type="dxa"/>
            <w:noWrap/>
            <w:hideMark/>
          </w:tcPr>
          <w:p w:rsidR="00B81910" w:rsidRPr="006C5AFD" w:rsidRDefault="006C5AFD" w:rsidP="006C5AFD">
            <w:pPr>
              <w:spacing w:after="120" w:line="276" w:lineRule="auto"/>
              <w:jc w:val="center"/>
              <w:cnfStyle w:val="100000000000"/>
              <w:rPr>
                <w:sz w:val="20"/>
                <w:szCs w:val="20"/>
              </w:rPr>
            </w:pPr>
            <w:r w:rsidRPr="006C5AFD">
              <w:rPr>
                <w:sz w:val="20"/>
                <w:szCs w:val="20"/>
              </w:rPr>
              <w:t>α</w:t>
            </w:r>
            <w:r w:rsidR="00B81910" w:rsidRPr="006C5AFD">
              <w:rPr>
                <w:sz w:val="20"/>
                <w:szCs w:val="20"/>
              </w:rPr>
              <w:t xml:space="preserve">ύξηση </w:t>
            </w:r>
            <w:r w:rsidRPr="006C5AFD">
              <w:rPr>
                <w:sz w:val="20"/>
                <w:szCs w:val="20"/>
              </w:rPr>
              <w:t>ε</w:t>
            </w:r>
            <w:r w:rsidR="00B81910" w:rsidRPr="006C5AFD">
              <w:rPr>
                <w:sz w:val="20"/>
                <w:szCs w:val="20"/>
              </w:rPr>
              <w:t>πιχορήγησης ανά προστατευόμενο μέλος</w:t>
            </w:r>
          </w:p>
        </w:tc>
        <w:tc>
          <w:tcPr>
            <w:tcW w:w="1610" w:type="dxa"/>
            <w:noWrap/>
            <w:hideMark/>
          </w:tcPr>
          <w:p w:rsidR="00B81910" w:rsidRPr="006C5AFD" w:rsidRDefault="006C5AFD" w:rsidP="006C5AFD">
            <w:pPr>
              <w:spacing w:after="120" w:line="276" w:lineRule="auto"/>
              <w:jc w:val="center"/>
              <w:cnfStyle w:val="100000000000"/>
              <w:rPr>
                <w:sz w:val="20"/>
                <w:szCs w:val="20"/>
              </w:rPr>
            </w:pPr>
            <w:r w:rsidRPr="006C5AFD">
              <w:rPr>
                <w:sz w:val="20"/>
                <w:szCs w:val="20"/>
              </w:rPr>
              <w:t>μ</w:t>
            </w:r>
            <w:r w:rsidR="00B81910" w:rsidRPr="006C5AFD">
              <w:rPr>
                <w:sz w:val="20"/>
                <w:szCs w:val="20"/>
              </w:rPr>
              <w:t xml:space="preserve">έγιστο </w:t>
            </w:r>
            <w:r w:rsidRPr="006C5AFD">
              <w:rPr>
                <w:sz w:val="20"/>
                <w:szCs w:val="20"/>
              </w:rPr>
              <w:t>ποσοστό ε</w:t>
            </w:r>
            <w:r w:rsidR="00B81910" w:rsidRPr="006C5AFD">
              <w:rPr>
                <w:sz w:val="20"/>
                <w:szCs w:val="20"/>
              </w:rPr>
              <w:t>πιχορήγησης</w:t>
            </w:r>
          </w:p>
        </w:tc>
      </w:tr>
      <w:tr w:rsidR="00B81910" w:rsidRPr="00B81910" w:rsidTr="006C5AFD">
        <w:trPr>
          <w:cnfStyle w:val="000000100000"/>
          <w:trHeight w:val="266"/>
        </w:trPr>
        <w:tc>
          <w:tcPr>
            <w:cnfStyle w:val="001000000000"/>
            <w:tcW w:w="582" w:type="dxa"/>
          </w:tcPr>
          <w:p w:rsidR="00B81910" w:rsidRPr="00B81910" w:rsidRDefault="00B81910" w:rsidP="006C5AFD">
            <w:pPr>
              <w:spacing w:after="120" w:line="276" w:lineRule="auto"/>
              <w:jc w:val="both"/>
            </w:pPr>
            <w:r w:rsidRPr="00B81910">
              <w:t>1</w:t>
            </w:r>
          </w:p>
        </w:tc>
        <w:tc>
          <w:tcPr>
            <w:tcW w:w="1418" w:type="dxa"/>
            <w:noWrap/>
            <w:hideMark/>
          </w:tcPr>
          <w:p w:rsidR="00B81910" w:rsidRPr="00B81910" w:rsidRDefault="006C5AFD" w:rsidP="006C5AFD">
            <w:pPr>
              <w:spacing w:after="120" w:line="276" w:lineRule="auto"/>
              <w:jc w:val="center"/>
              <w:cnfStyle w:val="000000100000"/>
            </w:pPr>
            <w:r>
              <w:t>έ</w:t>
            </w:r>
            <w:r w:rsidR="00B81910" w:rsidRPr="00B81910">
              <w:t>ως 10.000</w:t>
            </w:r>
          </w:p>
        </w:tc>
        <w:tc>
          <w:tcPr>
            <w:tcW w:w="1559" w:type="dxa"/>
            <w:noWrap/>
            <w:hideMark/>
          </w:tcPr>
          <w:p w:rsidR="00B81910" w:rsidRPr="00B81910" w:rsidRDefault="006C5AFD" w:rsidP="006C5AFD">
            <w:pPr>
              <w:spacing w:after="120" w:line="276" w:lineRule="auto"/>
              <w:jc w:val="center"/>
              <w:cnfStyle w:val="000000100000"/>
            </w:pPr>
            <w:r>
              <w:t>έ</w:t>
            </w:r>
            <w:r w:rsidR="00B81910" w:rsidRPr="00B81910">
              <w:t>ως 20.000</w:t>
            </w:r>
          </w:p>
        </w:tc>
        <w:tc>
          <w:tcPr>
            <w:tcW w:w="1923" w:type="dxa"/>
            <w:noWrap/>
            <w:hideMark/>
          </w:tcPr>
          <w:p w:rsidR="00B81910" w:rsidRPr="00B81910" w:rsidRDefault="00B81910" w:rsidP="006C5AFD">
            <w:pPr>
              <w:spacing w:after="120" w:line="276" w:lineRule="auto"/>
              <w:jc w:val="center"/>
              <w:cnfStyle w:val="000000100000"/>
            </w:pPr>
            <w:r w:rsidRPr="00B81910">
              <w:rPr>
                <w:lang w:val="en-US"/>
              </w:rPr>
              <w:t>60</w:t>
            </w:r>
            <w:r w:rsidRPr="00B81910">
              <w:t>%</w:t>
            </w:r>
          </w:p>
        </w:tc>
        <w:tc>
          <w:tcPr>
            <w:tcW w:w="1877" w:type="dxa"/>
            <w:noWrap/>
            <w:hideMark/>
          </w:tcPr>
          <w:p w:rsidR="00B81910" w:rsidRPr="00B81910" w:rsidRDefault="00B81910" w:rsidP="006C5AFD">
            <w:pPr>
              <w:spacing w:after="120" w:line="276" w:lineRule="auto"/>
              <w:jc w:val="center"/>
              <w:cnfStyle w:val="000000100000"/>
            </w:pPr>
            <w:r w:rsidRPr="00B81910">
              <w:t>5%</w:t>
            </w:r>
          </w:p>
        </w:tc>
        <w:tc>
          <w:tcPr>
            <w:tcW w:w="1610" w:type="dxa"/>
            <w:noWrap/>
            <w:hideMark/>
          </w:tcPr>
          <w:p w:rsidR="00B81910" w:rsidRPr="00B81910" w:rsidRDefault="00B81910" w:rsidP="006C5AFD">
            <w:pPr>
              <w:spacing w:after="120" w:line="276" w:lineRule="auto"/>
              <w:jc w:val="center"/>
              <w:cnfStyle w:val="000000100000"/>
            </w:pPr>
            <w:r w:rsidRPr="00B81910">
              <w:t>70%</w:t>
            </w:r>
          </w:p>
        </w:tc>
      </w:tr>
      <w:tr w:rsidR="00B81910" w:rsidRPr="00B81910" w:rsidTr="006C5AFD">
        <w:trPr>
          <w:cnfStyle w:val="000000010000"/>
          <w:trHeight w:val="266"/>
        </w:trPr>
        <w:tc>
          <w:tcPr>
            <w:cnfStyle w:val="001000000000"/>
            <w:tcW w:w="582" w:type="dxa"/>
          </w:tcPr>
          <w:p w:rsidR="00B81910" w:rsidRPr="00B81910" w:rsidRDefault="00B81910" w:rsidP="006C5AFD">
            <w:pPr>
              <w:spacing w:after="120" w:line="276" w:lineRule="auto"/>
              <w:jc w:val="both"/>
            </w:pPr>
            <w:r w:rsidRPr="00B81910">
              <w:t>2</w:t>
            </w:r>
          </w:p>
        </w:tc>
        <w:tc>
          <w:tcPr>
            <w:tcW w:w="1418" w:type="dxa"/>
            <w:noWrap/>
            <w:hideMark/>
          </w:tcPr>
          <w:p w:rsidR="00B81910" w:rsidRPr="00B81910" w:rsidRDefault="00B81910" w:rsidP="006C5AFD">
            <w:pPr>
              <w:spacing w:after="120" w:line="276" w:lineRule="auto"/>
              <w:jc w:val="center"/>
              <w:cnfStyle w:val="000000010000"/>
            </w:pPr>
            <w:r w:rsidRPr="00B81910">
              <w:t>10.000 έως 15.000</w:t>
            </w:r>
          </w:p>
        </w:tc>
        <w:tc>
          <w:tcPr>
            <w:tcW w:w="1559" w:type="dxa"/>
            <w:noWrap/>
            <w:hideMark/>
          </w:tcPr>
          <w:p w:rsidR="00B81910" w:rsidRPr="00B81910" w:rsidRDefault="00B81910" w:rsidP="006C5AFD">
            <w:pPr>
              <w:spacing w:after="120" w:line="276" w:lineRule="auto"/>
              <w:jc w:val="center"/>
              <w:cnfStyle w:val="000000010000"/>
            </w:pPr>
            <w:r w:rsidRPr="00B81910">
              <w:t>20.000</w:t>
            </w:r>
          </w:p>
          <w:p w:rsidR="00B81910" w:rsidRPr="00B81910" w:rsidRDefault="00B81910" w:rsidP="006C5AFD">
            <w:pPr>
              <w:spacing w:after="120" w:line="276" w:lineRule="auto"/>
              <w:jc w:val="center"/>
              <w:cnfStyle w:val="000000010000"/>
            </w:pPr>
            <w:r w:rsidRPr="00B81910">
              <w:t>έως 25.000</w:t>
            </w:r>
          </w:p>
        </w:tc>
        <w:tc>
          <w:tcPr>
            <w:tcW w:w="1923" w:type="dxa"/>
            <w:noWrap/>
            <w:hideMark/>
          </w:tcPr>
          <w:p w:rsidR="00B81910" w:rsidRPr="00B81910" w:rsidRDefault="00B81910" w:rsidP="006C5AFD">
            <w:pPr>
              <w:spacing w:after="120" w:line="276" w:lineRule="auto"/>
              <w:jc w:val="center"/>
              <w:cnfStyle w:val="000000010000"/>
            </w:pPr>
            <w:r w:rsidRPr="00B81910">
              <w:rPr>
                <w:lang w:val="en-US"/>
              </w:rPr>
              <w:t>50</w:t>
            </w:r>
            <w:r w:rsidRPr="00B81910">
              <w:t>%</w:t>
            </w:r>
          </w:p>
        </w:tc>
        <w:tc>
          <w:tcPr>
            <w:tcW w:w="1877" w:type="dxa"/>
            <w:noWrap/>
            <w:hideMark/>
          </w:tcPr>
          <w:p w:rsidR="00B81910" w:rsidRPr="00B81910" w:rsidRDefault="00B81910" w:rsidP="006C5AFD">
            <w:pPr>
              <w:spacing w:after="120" w:line="276" w:lineRule="auto"/>
              <w:jc w:val="center"/>
              <w:cnfStyle w:val="000000010000"/>
            </w:pPr>
            <w:r w:rsidRPr="00B81910">
              <w:t>5%</w:t>
            </w:r>
          </w:p>
        </w:tc>
        <w:tc>
          <w:tcPr>
            <w:tcW w:w="1610" w:type="dxa"/>
            <w:noWrap/>
            <w:hideMark/>
          </w:tcPr>
          <w:p w:rsidR="00B81910" w:rsidRPr="00B81910" w:rsidRDefault="00B81910" w:rsidP="006C5AFD">
            <w:pPr>
              <w:spacing w:after="120" w:line="276" w:lineRule="auto"/>
              <w:jc w:val="center"/>
              <w:cnfStyle w:val="000000010000"/>
            </w:pPr>
            <w:r w:rsidRPr="00B81910">
              <w:t>70%</w:t>
            </w:r>
          </w:p>
        </w:tc>
      </w:tr>
      <w:tr w:rsidR="00B81910" w:rsidRPr="00B81910" w:rsidTr="006C5AFD">
        <w:trPr>
          <w:cnfStyle w:val="000000100000"/>
          <w:trHeight w:val="266"/>
        </w:trPr>
        <w:tc>
          <w:tcPr>
            <w:cnfStyle w:val="001000000000"/>
            <w:tcW w:w="582" w:type="dxa"/>
          </w:tcPr>
          <w:p w:rsidR="00B81910" w:rsidRPr="00B81910" w:rsidRDefault="00B81910" w:rsidP="006C5AFD">
            <w:pPr>
              <w:spacing w:after="120" w:line="276" w:lineRule="auto"/>
              <w:jc w:val="both"/>
            </w:pPr>
            <w:r w:rsidRPr="00B81910">
              <w:t>3</w:t>
            </w:r>
          </w:p>
        </w:tc>
        <w:tc>
          <w:tcPr>
            <w:tcW w:w="1418" w:type="dxa"/>
            <w:noWrap/>
            <w:hideMark/>
          </w:tcPr>
          <w:p w:rsidR="00B81910" w:rsidRPr="00B81910" w:rsidRDefault="00B81910" w:rsidP="006C5AFD">
            <w:pPr>
              <w:spacing w:after="120" w:line="276" w:lineRule="auto"/>
              <w:jc w:val="center"/>
              <w:cnfStyle w:val="000000100000"/>
            </w:pPr>
            <w:r w:rsidRPr="00B81910">
              <w:t>15.000 έως 20.000</w:t>
            </w:r>
          </w:p>
        </w:tc>
        <w:tc>
          <w:tcPr>
            <w:tcW w:w="1559" w:type="dxa"/>
            <w:noWrap/>
            <w:hideMark/>
          </w:tcPr>
          <w:p w:rsidR="00B81910" w:rsidRPr="00B81910" w:rsidRDefault="00B81910" w:rsidP="006C5AFD">
            <w:pPr>
              <w:spacing w:after="120" w:line="276" w:lineRule="auto"/>
              <w:jc w:val="center"/>
              <w:cnfStyle w:val="000000100000"/>
            </w:pPr>
            <w:r w:rsidRPr="00B81910">
              <w:t>25.000 έως 30.000</w:t>
            </w:r>
          </w:p>
        </w:tc>
        <w:tc>
          <w:tcPr>
            <w:tcW w:w="1923" w:type="dxa"/>
            <w:noWrap/>
            <w:hideMark/>
          </w:tcPr>
          <w:p w:rsidR="00B81910" w:rsidRPr="00B81910" w:rsidRDefault="00B81910" w:rsidP="006C5AFD">
            <w:pPr>
              <w:spacing w:after="120" w:line="276" w:lineRule="auto"/>
              <w:jc w:val="center"/>
              <w:cnfStyle w:val="000000100000"/>
            </w:pPr>
            <w:r w:rsidRPr="00B81910">
              <w:rPr>
                <w:lang w:val="en-US"/>
              </w:rPr>
              <w:t>40</w:t>
            </w:r>
            <w:r w:rsidRPr="00B81910">
              <w:t>%</w:t>
            </w:r>
          </w:p>
        </w:tc>
        <w:tc>
          <w:tcPr>
            <w:tcW w:w="1877" w:type="dxa"/>
            <w:noWrap/>
            <w:hideMark/>
          </w:tcPr>
          <w:p w:rsidR="00B81910" w:rsidRPr="00B81910" w:rsidRDefault="00B81910" w:rsidP="006C5AFD">
            <w:pPr>
              <w:spacing w:after="120" w:line="276" w:lineRule="auto"/>
              <w:jc w:val="center"/>
              <w:cnfStyle w:val="000000100000"/>
            </w:pPr>
            <w:r w:rsidRPr="00B81910">
              <w:t>5%</w:t>
            </w:r>
          </w:p>
        </w:tc>
        <w:tc>
          <w:tcPr>
            <w:tcW w:w="1610" w:type="dxa"/>
            <w:noWrap/>
            <w:hideMark/>
          </w:tcPr>
          <w:p w:rsidR="00B81910" w:rsidRPr="00B81910" w:rsidRDefault="00B81910" w:rsidP="006C5AFD">
            <w:pPr>
              <w:spacing w:after="120" w:line="276" w:lineRule="auto"/>
              <w:jc w:val="center"/>
              <w:cnfStyle w:val="000000100000"/>
            </w:pPr>
            <w:r w:rsidRPr="00B81910">
              <w:t>70%</w:t>
            </w:r>
          </w:p>
        </w:tc>
      </w:tr>
      <w:tr w:rsidR="00B81910" w:rsidRPr="00B81910" w:rsidTr="006C5AFD">
        <w:trPr>
          <w:cnfStyle w:val="000000010000"/>
          <w:trHeight w:val="266"/>
        </w:trPr>
        <w:tc>
          <w:tcPr>
            <w:cnfStyle w:val="001000000000"/>
            <w:tcW w:w="582" w:type="dxa"/>
          </w:tcPr>
          <w:p w:rsidR="00B81910" w:rsidRPr="00B81910" w:rsidRDefault="00B81910" w:rsidP="006C5AFD">
            <w:pPr>
              <w:spacing w:after="120" w:line="276" w:lineRule="auto"/>
              <w:jc w:val="both"/>
            </w:pPr>
            <w:r w:rsidRPr="00B81910">
              <w:t>4</w:t>
            </w:r>
          </w:p>
        </w:tc>
        <w:tc>
          <w:tcPr>
            <w:tcW w:w="1418" w:type="dxa"/>
            <w:noWrap/>
            <w:hideMark/>
          </w:tcPr>
          <w:p w:rsidR="00B81910" w:rsidRPr="00B81910" w:rsidRDefault="00B81910" w:rsidP="006C5AFD">
            <w:pPr>
              <w:spacing w:after="120" w:line="276" w:lineRule="auto"/>
              <w:jc w:val="center"/>
              <w:cnfStyle w:val="000000010000"/>
            </w:pPr>
            <w:r w:rsidRPr="00B81910">
              <w:t>20.000 έως 25.000</w:t>
            </w:r>
          </w:p>
        </w:tc>
        <w:tc>
          <w:tcPr>
            <w:tcW w:w="1559" w:type="dxa"/>
            <w:noWrap/>
            <w:hideMark/>
          </w:tcPr>
          <w:p w:rsidR="00B81910" w:rsidRPr="00B81910" w:rsidRDefault="00B81910" w:rsidP="006C5AFD">
            <w:pPr>
              <w:spacing w:after="120" w:line="276" w:lineRule="auto"/>
              <w:jc w:val="center"/>
              <w:cnfStyle w:val="000000010000"/>
            </w:pPr>
            <w:r w:rsidRPr="00B81910">
              <w:t>30.000 έως 35.000</w:t>
            </w:r>
          </w:p>
        </w:tc>
        <w:tc>
          <w:tcPr>
            <w:tcW w:w="1923" w:type="dxa"/>
            <w:noWrap/>
            <w:hideMark/>
          </w:tcPr>
          <w:p w:rsidR="00B81910" w:rsidRPr="00B81910" w:rsidRDefault="00B81910" w:rsidP="006C5AFD">
            <w:pPr>
              <w:spacing w:after="120" w:line="276" w:lineRule="auto"/>
              <w:jc w:val="center"/>
              <w:cnfStyle w:val="000000010000"/>
            </w:pPr>
            <w:r w:rsidRPr="00B81910">
              <w:t>3</w:t>
            </w:r>
            <w:r w:rsidRPr="00B81910">
              <w:rPr>
                <w:lang w:val="en-US"/>
              </w:rPr>
              <w:t>5</w:t>
            </w:r>
            <w:r w:rsidRPr="00B81910">
              <w:t>%</w:t>
            </w:r>
          </w:p>
        </w:tc>
        <w:tc>
          <w:tcPr>
            <w:tcW w:w="1877" w:type="dxa"/>
            <w:noWrap/>
            <w:hideMark/>
          </w:tcPr>
          <w:p w:rsidR="00B81910" w:rsidRPr="00B81910" w:rsidRDefault="00B81910" w:rsidP="006C5AFD">
            <w:pPr>
              <w:spacing w:after="120" w:line="276" w:lineRule="auto"/>
              <w:jc w:val="center"/>
              <w:cnfStyle w:val="000000010000"/>
            </w:pPr>
            <w:r w:rsidRPr="00B81910">
              <w:t>5%</w:t>
            </w:r>
          </w:p>
        </w:tc>
        <w:tc>
          <w:tcPr>
            <w:tcW w:w="1610" w:type="dxa"/>
            <w:noWrap/>
            <w:hideMark/>
          </w:tcPr>
          <w:p w:rsidR="00B81910" w:rsidRPr="00B81910" w:rsidRDefault="00B81910" w:rsidP="006C5AFD">
            <w:pPr>
              <w:spacing w:after="120" w:line="276" w:lineRule="auto"/>
              <w:jc w:val="center"/>
              <w:cnfStyle w:val="000000010000"/>
            </w:pPr>
            <w:r w:rsidRPr="00B81910">
              <w:t>70%</w:t>
            </w:r>
          </w:p>
        </w:tc>
      </w:tr>
      <w:tr w:rsidR="00B81910" w:rsidRPr="00B81910" w:rsidTr="006C5AFD">
        <w:trPr>
          <w:cnfStyle w:val="000000100000"/>
          <w:trHeight w:val="266"/>
        </w:trPr>
        <w:tc>
          <w:tcPr>
            <w:cnfStyle w:val="001000000000"/>
            <w:tcW w:w="582" w:type="dxa"/>
          </w:tcPr>
          <w:p w:rsidR="00B81910" w:rsidRPr="00B81910" w:rsidRDefault="00B81910" w:rsidP="006C5AFD">
            <w:pPr>
              <w:spacing w:after="120" w:line="276" w:lineRule="auto"/>
              <w:jc w:val="both"/>
            </w:pPr>
            <w:r w:rsidRPr="00B81910">
              <w:t>5</w:t>
            </w:r>
          </w:p>
        </w:tc>
        <w:tc>
          <w:tcPr>
            <w:tcW w:w="1418" w:type="dxa"/>
            <w:noWrap/>
            <w:hideMark/>
          </w:tcPr>
          <w:p w:rsidR="00B81910" w:rsidRPr="00B81910" w:rsidRDefault="00B81910" w:rsidP="006C5AFD">
            <w:pPr>
              <w:spacing w:after="120" w:line="276" w:lineRule="auto"/>
              <w:jc w:val="center"/>
              <w:cnfStyle w:val="000000100000"/>
            </w:pPr>
            <w:r w:rsidRPr="00B81910">
              <w:t>25.000 έως 30.000</w:t>
            </w:r>
          </w:p>
        </w:tc>
        <w:tc>
          <w:tcPr>
            <w:tcW w:w="1559" w:type="dxa"/>
            <w:noWrap/>
            <w:hideMark/>
          </w:tcPr>
          <w:p w:rsidR="00B81910" w:rsidRPr="00B81910" w:rsidRDefault="00B81910" w:rsidP="006C5AFD">
            <w:pPr>
              <w:spacing w:after="120" w:line="276" w:lineRule="auto"/>
              <w:jc w:val="center"/>
              <w:cnfStyle w:val="000000100000"/>
            </w:pPr>
            <w:r w:rsidRPr="00B81910">
              <w:t>35.000 έως 40.000</w:t>
            </w:r>
          </w:p>
        </w:tc>
        <w:tc>
          <w:tcPr>
            <w:tcW w:w="1923" w:type="dxa"/>
            <w:noWrap/>
            <w:hideMark/>
          </w:tcPr>
          <w:p w:rsidR="00B81910" w:rsidRPr="00B81910" w:rsidRDefault="00B81910" w:rsidP="006C5AFD">
            <w:pPr>
              <w:spacing w:after="120" w:line="276" w:lineRule="auto"/>
              <w:jc w:val="center"/>
              <w:cnfStyle w:val="000000100000"/>
            </w:pPr>
            <w:r w:rsidRPr="00B81910">
              <w:rPr>
                <w:lang w:val="en-US"/>
              </w:rPr>
              <w:t>30</w:t>
            </w:r>
            <w:r w:rsidRPr="00B81910">
              <w:t>%</w:t>
            </w:r>
          </w:p>
        </w:tc>
        <w:tc>
          <w:tcPr>
            <w:tcW w:w="1877" w:type="dxa"/>
            <w:noWrap/>
            <w:hideMark/>
          </w:tcPr>
          <w:p w:rsidR="00B81910" w:rsidRPr="00B81910" w:rsidRDefault="00B81910" w:rsidP="006C5AFD">
            <w:pPr>
              <w:spacing w:after="120" w:line="276" w:lineRule="auto"/>
              <w:jc w:val="center"/>
              <w:cnfStyle w:val="000000100000"/>
            </w:pPr>
            <w:r w:rsidRPr="00B81910">
              <w:t>5%</w:t>
            </w:r>
          </w:p>
        </w:tc>
        <w:tc>
          <w:tcPr>
            <w:tcW w:w="1610" w:type="dxa"/>
            <w:noWrap/>
            <w:hideMark/>
          </w:tcPr>
          <w:p w:rsidR="00B81910" w:rsidRPr="00B81910" w:rsidRDefault="00B81910" w:rsidP="006C5AFD">
            <w:pPr>
              <w:spacing w:after="120" w:line="276" w:lineRule="auto"/>
              <w:jc w:val="center"/>
              <w:cnfStyle w:val="000000100000"/>
            </w:pPr>
            <w:r w:rsidRPr="00B81910">
              <w:t>50%</w:t>
            </w:r>
          </w:p>
        </w:tc>
      </w:tr>
      <w:tr w:rsidR="00B81910" w:rsidRPr="00B81910" w:rsidTr="006C5AFD">
        <w:trPr>
          <w:cnfStyle w:val="000000010000"/>
          <w:trHeight w:val="266"/>
        </w:trPr>
        <w:tc>
          <w:tcPr>
            <w:cnfStyle w:val="001000000000"/>
            <w:tcW w:w="582" w:type="dxa"/>
          </w:tcPr>
          <w:p w:rsidR="00B81910" w:rsidRPr="00B81910" w:rsidRDefault="00B81910" w:rsidP="006C5AFD">
            <w:pPr>
              <w:spacing w:after="120" w:line="276" w:lineRule="auto"/>
              <w:jc w:val="both"/>
            </w:pPr>
            <w:r w:rsidRPr="00B81910">
              <w:t>6</w:t>
            </w:r>
          </w:p>
        </w:tc>
        <w:tc>
          <w:tcPr>
            <w:tcW w:w="1418" w:type="dxa"/>
            <w:noWrap/>
            <w:hideMark/>
          </w:tcPr>
          <w:p w:rsidR="00B81910" w:rsidRPr="00B81910" w:rsidRDefault="00B81910" w:rsidP="006C5AFD">
            <w:pPr>
              <w:spacing w:after="120" w:line="276" w:lineRule="auto"/>
              <w:jc w:val="center"/>
              <w:cnfStyle w:val="000000010000"/>
            </w:pPr>
            <w:r w:rsidRPr="00B81910">
              <w:t>30.000 έως 35.000</w:t>
            </w:r>
          </w:p>
        </w:tc>
        <w:tc>
          <w:tcPr>
            <w:tcW w:w="1559" w:type="dxa"/>
            <w:noWrap/>
            <w:hideMark/>
          </w:tcPr>
          <w:p w:rsidR="00B81910" w:rsidRPr="00B81910" w:rsidRDefault="00B81910" w:rsidP="006C5AFD">
            <w:pPr>
              <w:spacing w:after="120" w:line="276" w:lineRule="auto"/>
              <w:jc w:val="center"/>
              <w:cnfStyle w:val="000000010000"/>
            </w:pPr>
            <w:r w:rsidRPr="00B81910">
              <w:t>40.000 έως 45.000</w:t>
            </w:r>
          </w:p>
        </w:tc>
        <w:tc>
          <w:tcPr>
            <w:tcW w:w="1923" w:type="dxa"/>
            <w:noWrap/>
            <w:hideMark/>
          </w:tcPr>
          <w:p w:rsidR="00B81910" w:rsidRPr="00B81910" w:rsidRDefault="00B81910" w:rsidP="006C5AFD">
            <w:pPr>
              <w:spacing w:after="120" w:line="276" w:lineRule="auto"/>
              <w:jc w:val="center"/>
              <w:cnfStyle w:val="000000010000"/>
            </w:pPr>
            <w:r w:rsidRPr="00B81910">
              <w:t>2</w:t>
            </w:r>
            <w:r w:rsidRPr="00B81910">
              <w:rPr>
                <w:lang w:val="en-US"/>
              </w:rPr>
              <w:t>5</w:t>
            </w:r>
            <w:r w:rsidRPr="00B81910">
              <w:t>%</w:t>
            </w:r>
          </w:p>
        </w:tc>
        <w:tc>
          <w:tcPr>
            <w:tcW w:w="1877" w:type="dxa"/>
            <w:noWrap/>
            <w:hideMark/>
          </w:tcPr>
          <w:p w:rsidR="00B81910" w:rsidRPr="00B81910" w:rsidRDefault="00B81910" w:rsidP="006C5AFD">
            <w:pPr>
              <w:spacing w:after="120" w:line="276" w:lineRule="auto"/>
              <w:jc w:val="center"/>
              <w:cnfStyle w:val="000000010000"/>
            </w:pPr>
            <w:r w:rsidRPr="00B81910">
              <w:t>5%</w:t>
            </w:r>
          </w:p>
        </w:tc>
        <w:tc>
          <w:tcPr>
            <w:tcW w:w="1610" w:type="dxa"/>
            <w:noWrap/>
            <w:hideMark/>
          </w:tcPr>
          <w:p w:rsidR="00B81910" w:rsidRPr="00B81910" w:rsidRDefault="00B81910" w:rsidP="006C5AFD">
            <w:pPr>
              <w:spacing w:after="120" w:line="276" w:lineRule="auto"/>
              <w:jc w:val="center"/>
              <w:cnfStyle w:val="000000010000"/>
            </w:pPr>
            <w:r w:rsidRPr="00B81910">
              <w:t>50%</w:t>
            </w:r>
          </w:p>
        </w:tc>
      </w:tr>
      <w:tr w:rsidR="00B81910" w:rsidRPr="00B81910" w:rsidTr="006C5AFD">
        <w:trPr>
          <w:cnfStyle w:val="000000100000"/>
          <w:trHeight w:val="266"/>
        </w:trPr>
        <w:tc>
          <w:tcPr>
            <w:cnfStyle w:val="001000000000"/>
            <w:tcW w:w="582" w:type="dxa"/>
          </w:tcPr>
          <w:p w:rsidR="00B81910" w:rsidRPr="00B81910" w:rsidRDefault="00B81910" w:rsidP="006C5AFD">
            <w:pPr>
              <w:spacing w:after="120" w:line="276" w:lineRule="auto"/>
              <w:jc w:val="both"/>
            </w:pPr>
            <w:r w:rsidRPr="00B81910">
              <w:t>7</w:t>
            </w:r>
          </w:p>
        </w:tc>
        <w:tc>
          <w:tcPr>
            <w:tcW w:w="1418" w:type="dxa"/>
            <w:noWrap/>
            <w:hideMark/>
          </w:tcPr>
          <w:p w:rsidR="00B81910" w:rsidRPr="00B81910" w:rsidRDefault="00417BDC" w:rsidP="00417BDC">
            <w:pPr>
              <w:spacing w:after="120" w:line="276" w:lineRule="auto"/>
              <w:jc w:val="center"/>
              <w:cnfStyle w:val="000000100000"/>
            </w:pPr>
            <w:r>
              <w:t xml:space="preserve">άνω των </w:t>
            </w:r>
            <w:r w:rsidR="00B81910" w:rsidRPr="00B81910">
              <w:t>35.000</w:t>
            </w:r>
          </w:p>
        </w:tc>
        <w:tc>
          <w:tcPr>
            <w:tcW w:w="1559" w:type="dxa"/>
            <w:noWrap/>
            <w:hideMark/>
          </w:tcPr>
          <w:p w:rsidR="00B81910" w:rsidRPr="00B81910" w:rsidRDefault="00417BDC" w:rsidP="00417BDC">
            <w:pPr>
              <w:spacing w:after="120" w:line="276" w:lineRule="auto"/>
              <w:jc w:val="center"/>
              <w:cnfStyle w:val="000000100000"/>
            </w:pPr>
            <w:r>
              <w:t xml:space="preserve">άνω των </w:t>
            </w:r>
            <w:r w:rsidR="00B81910" w:rsidRPr="00B81910">
              <w:t>45.000</w:t>
            </w:r>
          </w:p>
        </w:tc>
        <w:tc>
          <w:tcPr>
            <w:tcW w:w="1923" w:type="dxa"/>
            <w:noWrap/>
            <w:hideMark/>
          </w:tcPr>
          <w:p w:rsidR="00B81910" w:rsidRPr="00B81910" w:rsidRDefault="00B81910" w:rsidP="006C5AFD">
            <w:pPr>
              <w:spacing w:after="120" w:line="276" w:lineRule="auto"/>
              <w:jc w:val="center"/>
              <w:cnfStyle w:val="000000100000"/>
            </w:pPr>
            <w:r w:rsidRPr="00B81910">
              <w:t>0%</w:t>
            </w:r>
          </w:p>
        </w:tc>
        <w:tc>
          <w:tcPr>
            <w:tcW w:w="1877" w:type="dxa"/>
            <w:noWrap/>
            <w:hideMark/>
          </w:tcPr>
          <w:p w:rsidR="00B81910" w:rsidRPr="00B81910" w:rsidRDefault="00B81910" w:rsidP="006C5AFD">
            <w:pPr>
              <w:spacing w:after="120" w:line="276" w:lineRule="auto"/>
              <w:jc w:val="center"/>
              <w:cnfStyle w:val="000000100000"/>
            </w:pPr>
            <w:r w:rsidRPr="00B81910">
              <w:t>0%</w:t>
            </w:r>
          </w:p>
        </w:tc>
        <w:tc>
          <w:tcPr>
            <w:tcW w:w="1610" w:type="dxa"/>
            <w:noWrap/>
            <w:hideMark/>
          </w:tcPr>
          <w:p w:rsidR="00B81910" w:rsidRPr="00B81910" w:rsidRDefault="00B81910" w:rsidP="006C5AFD">
            <w:pPr>
              <w:spacing w:after="120" w:line="276" w:lineRule="auto"/>
              <w:jc w:val="center"/>
              <w:cnfStyle w:val="000000100000"/>
            </w:pPr>
            <w:r w:rsidRPr="00B81910">
              <w:t>0%</w:t>
            </w:r>
          </w:p>
        </w:tc>
      </w:tr>
    </w:tbl>
    <w:p w:rsidR="009074D2" w:rsidRDefault="005214AB" w:rsidP="005214AB">
      <w:pPr>
        <w:spacing w:before="120" w:after="120" w:line="276" w:lineRule="auto"/>
        <w:jc w:val="both"/>
      </w:pPr>
      <w:r>
        <w:lastRenderedPageBreak/>
        <w:t xml:space="preserve">Το πρόγραμμα ενεργοποιείται στις αρχές του β’ εξαμήνου, προκειμένου να υπάρξει το χρονικό περιθώριο ώστε να αξιοποιηθούν ως μεγέθη αναφοράς τα εισοδήματα του 2018. </w:t>
      </w:r>
      <w:r w:rsidR="007A2AF6">
        <w:t xml:space="preserve">Από τον παραπάνω πίνακα γίνεται σαφές ότι </w:t>
      </w:r>
      <w:r w:rsidR="00493D63">
        <w:t xml:space="preserve">έμφαση </w:t>
      </w:r>
      <w:r w:rsidR="00AA0CBC">
        <w:t>δίνεται στην ένταξη  οικογενειών</w:t>
      </w:r>
      <w:r w:rsidR="009074D2">
        <w:t xml:space="preserve"> με παιδιά (5% για κάθε ανήλικο μέλος-έως και 2 παιδιά)</w:t>
      </w:r>
      <w:r w:rsidR="00207B5D">
        <w:t xml:space="preserve"> και </w:t>
      </w:r>
      <w:r w:rsidR="00AA0CBC">
        <w:t>νοικοκυριών με</w:t>
      </w:r>
      <w:r w:rsidR="00207B5D">
        <w:t xml:space="preserve"> χαμηλά εισοδήματα</w:t>
      </w:r>
      <w:r w:rsidR="00AA0CBC">
        <w:t>.</w:t>
      </w:r>
      <w:r w:rsidR="009074D2">
        <w:t xml:space="preserve"> Η 7</w:t>
      </w:r>
      <w:r w:rsidR="009074D2" w:rsidRPr="009074D2">
        <w:rPr>
          <w:vertAlign w:val="superscript"/>
        </w:rPr>
        <w:t>η</w:t>
      </w:r>
      <w:r w:rsidR="009074D2">
        <w:t xml:space="preserve"> κατηγορία αν και δεν </w:t>
      </w:r>
      <w:r w:rsidR="00207B5D">
        <w:t>μπορεί</w:t>
      </w:r>
      <w:r w:rsidR="009074D2">
        <w:t xml:space="preserve"> να </w:t>
      </w:r>
      <w:r w:rsidR="00AA0CBC">
        <w:t xml:space="preserve">λάβει </w:t>
      </w:r>
      <w:r w:rsidR="009074D2">
        <w:t>επιχορήγηση</w:t>
      </w:r>
      <w:r w:rsidR="00AA0CBC">
        <w:t xml:space="preserve">, δύναται </w:t>
      </w:r>
      <w:r w:rsidR="009074D2">
        <w:t xml:space="preserve">να επωφεληθεί </w:t>
      </w:r>
      <w:r w:rsidR="00AA0CBC">
        <w:t xml:space="preserve">από το πρόγραμμα </w:t>
      </w:r>
      <w:r w:rsidR="009074D2">
        <w:t xml:space="preserve">μέσω της λήψης άτοκου δανείου. </w:t>
      </w:r>
      <w:r w:rsidR="006C5AFD">
        <w:t xml:space="preserve">Ισχύει η </w:t>
      </w:r>
      <w:r w:rsidR="00AA0CBC">
        <w:t xml:space="preserve">αποσύνδεση της υποχρέωσης λήψης δανείου από </w:t>
      </w:r>
      <w:r w:rsidR="003D62DC">
        <w:t>τη συμμετοχή στο πρόγραμμα</w:t>
      </w:r>
      <w:r w:rsidR="006C5AFD">
        <w:t xml:space="preserve">, δηλαδή </w:t>
      </w:r>
      <w:r w:rsidR="003D62DC">
        <w:t xml:space="preserve">η λήψη δανείου δεν </w:t>
      </w:r>
      <w:r w:rsidR="00BC2156">
        <w:t>είναι υποχρεωτική.</w:t>
      </w:r>
      <w:r>
        <w:t xml:space="preserve"> </w:t>
      </w:r>
      <w:r w:rsidR="009074D2">
        <w:t xml:space="preserve">Ο </w:t>
      </w:r>
      <w:r w:rsidR="00207B5D">
        <w:t>προϋπολογισμός</w:t>
      </w:r>
      <w:r w:rsidR="009074D2">
        <w:t xml:space="preserve"> της κάθε αίτησης </w:t>
      </w:r>
      <w:r w:rsidR="00207B5D">
        <w:t>δε</w:t>
      </w:r>
      <w:r w:rsidR="00325E03">
        <w:t>ν θα υπερβαίνει τα</w:t>
      </w:r>
      <w:r w:rsidR="00207B5D">
        <w:t xml:space="preserve"> 25.000 ευρώ.</w:t>
      </w:r>
    </w:p>
    <w:p w:rsidR="00782394" w:rsidRDefault="00782394" w:rsidP="00782394">
      <w:pPr>
        <w:pStyle w:val="1"/>
      </w:pPr>
      <w:r>
        <w:t>διαδικασία ένταξης</w:t>
      </w:r>
    </w:p>
    <w:p w:rsidR="00782394" w:rsidRDefault="00B81910" w:rsidP="00782394">
      <w:pPr>
        <w:spacing w:after="120" w:line="276" w:lineRule="auto"/>
        <w:jc w:val="both"/>
      </w:pPr>
      <w:r>
        <w:t xml:space="preserve">Οι </w:t>
      </w:r>
      <w:r w:rsidR="003D62DC">
        <w:t>ενδιαφερόμενοι πολίτες θα μπορούν</w:t>
      </w:r>
      <w:r w:rsidR="003D62DC" w:rsidRPr="003D62DC">
        <w:t xml:space="preserve"> </w:t>
      </w:r>
      <w:r w:rsidR="003D62DC">
        <w:t xml:space="preserve">να συμπληρώνουν την αίτηση ένταξης τους στο πρόγραμμα, μέσω της ειδικής ιστοσελίδας και της ειδικής πλατφόρμας του προγράμματος,  όπου και θα </w:t>
      </w:r>
      <w:r>
        <w:t xml:space="preserve">ελέγχουν αν τηρούν τα παραπάνω κριτήρια. </w:t>
      </w:r>
      <w:r w:rsidR="006C5AFD">
        <w:t>Ο</w:t>
      </w:r>
      <w:r w:rsidR="00E47A43">
        <w:t xml:space="preserve">ι αιτήσεις θα γίνονται μόνο ηλεκτρονικά και </w:t>
      </w:r>
      <w:r w:rsidR="003D62DC">
        <w:t xml:space="preserve">η ηλεκτρονική αίτηση, </w:t>
      </w:r>
      <w:r w:rsidR="00E47A43">
        <w:t xml:space="preserve">θα επέχει θέση </w:t>
      </w:r>
      <w:r w:rsidR="003D62DC">
        <w:t>υπεύθυνης</w:t>
      </w:r>
      <w:r w:rsidR="00E47A43">
        <w:t xml:space="preserve"> δήλωσης. </w:t>
      </w:r>
      <w:r w:rsidR="003D62DC">
        <w:t>Με την απλούστευση της διαδικασίας της αίτησης, διευκολύνονται οι πολίτες, καθώς και μειώνεται σημαντικά η γραφειοκρατία. Ακόμη</w:t>
      </w:r>
      <w:r w:rsidR="00FC185B">
        <w:t>,</w:t>
      </w:r>
      <w:r w:rsidR="003D62DC">
        <w:t xml:space="preserve"> μέσω της </w:t>
      </w:r>
      <w:r>
        <w:t>ηλεκτρονική</w:t>
      </w:r>
      <w:r w:rsidR="003D62DC">
        <w:t>ς</w:t>
      </w:r>
      <w:r>
        <w:t xml:space="preserve"> αίτηση</w:t>
      </w:r>
      <w:r w:rsidR="003D62DC">
        <w:t>ς, οι ενδιαφερόμενοι</w:t>
      </w:r>
      <w:r>
        <w:t xml:space="preserve"> θα μπορούν να επιλέγουν αν θα </w:t>
      </w:r>
      <w:r w:rsidR="003A6FD1">
        <w:t>ζητήσουν</w:t>
      </w:r>
      <w:r>
        <w:t xml:space="preserve"> χορήγηση δανείου ή όχι</w:t>
      </w:r>
      <w:r w:rsidR="003D62DC">
        <w:t>. Στη συνέχεια, εφόσον πληρούν τις προϋποθέσεις συμμετοχής, θα έχουν τη δυνατότητα να επιλέξουν το</w:t>
      </w:r>
      <w:r>
        <w:t xml:space="preserve">ν χρηματοπιστωτικό οργανισμό </w:t>
      </w:r>
      <w:r w:rsidR="003D62DC">
        <w:t xml:space="preserve">στον οποίο θα απευθυνθούν, χωρίς να χρειάζεται η φυσική τους παρουσία, </w:t>
      </w:r>
      <w:r>
        <w:t>ο οποίος στη συνέχεια θα εξετάζει την πιστοληπτική τους ικανότητα.</w:t>
      </w:r>
    </w:p>
    <w:p w:rsidR="00782394" w:rsidRDefault="00782394" w:rsidP="00782394">
      <w:pPr>
        <w:pStyle w:val="1"/>
      </w:pPr>
      <w:r>
        <w:t>προϋποθέσεις ένταξης</w:t>
      </w:r>
    </w:p>
    <w:p w:rsidR="003A6FD1" w:rsidRDefault="003D62DC" w:rsidP="006C5AFD">
      <w:pPr>
        <w:spacing w:after="120" w:line="276" w:lineRule="auto"/>
        <w:jc w:val="both"/>
      </w:pPr>
      <w:r>
        <w:t>Απαραίτητη προϋπόθεση για την ένταξη στο πρόγραμμα</w:t>
      </w:r>
      <w:r w:rsidR="00B81910">
        <w:t xml:space="preserve"> είναι </w:t>
      </w:r>
      <w:r w:rsidR="00325E03">
        <w:t>η διενέργεια</w:t>
      </w:r>
      <w:r w:rsidR="003A6FD1">
        <w:t xml:space="preserve"> ενεργειακή</w:t>
      </w:r>
      <w:r w:rsidR="00325E03">
        <w:t>ς</w:t>
      </w:r>
      <w:r w:rsidR="003A6FD1">
        <w:t xml:space="preserve"> </w:t>
      </w:r>
      <w:r w:rsidR="007520CD">
        <w:t>επιθεώρηση</w:t>
      </w:r>
      <w:r w:rsidR="00325E03">
        <w:t>ς</w:t>
      </w:r>
      <w:r w:rsidR="003A6FD1">
        <w:t xml:space="preserve"> από Ενεργειακό Επιθεωρητή</w:t>
      </w:r>
      <w:r w:rsidR="00325E03">
        <w:t>,</w:t>
      </w:r>
      <w:r w:rsidR="003A6FD1">
        <w:t xml:space="preserve"> </w:t>
      </w:r>
      <w:r w:rsidR="00325E03">
        <w:t xml:space="preserve">ο οποίος </w:t>
      </w:r>
      <w:r w:rsidR="00EF7861">
        <w:t xml:space="preserve">και </w:t>
      </w:r>
      <w:r w:rsidR="00325E03">
        <w:t>θα εκδίδει το απαιτούμενο Πιστοποιητικό</w:t>
      </w:r>
      <w:r w:rsidR="003A6FD1">
        <w:t xml:space="preserve"> Ενεργειακής Απόδοσης</w:t>
      </w:r>
      <w:r w:rsidR="00325E03">
        <w:t>.</w:t>
      </w:r>
      <w:r w:rsidR="003A6FD1">
        <w:t xml:space="preserve"> </w:t>
      </w:r>
      <w:r w:rsidR="00325E03">
        <w:t xml:space="preserve">Στη συνέχεια, οι παρεμβάσεις θα επιλέγονται σύμφωνα με τα ευρήματα/αποτελέσματα της επιθεώρησης, </w:t>
      </w:r>
      <w:r w:rsidR="003A6FD1">
        <w:t>μ</w:t>
      </w:r>
      <w:r w:rsidR="00325E03">
        <w:t>ε σ</w:t>
      </w:r>
      <w:r w:rsidR="00EF7861">
        <w:t>τόχο</w:t>
      </w:r>
      <w:r w:rsidR="00325E03">
        <w:t xml:space="preserve"> την επίτευξη της</w:t>
      </w:r>
      <w:r w:rsidR="003A6FD1">
        <w:t xml:space="preserve"> μέγιστη</w:t>
      </w:r>
      <w:r w:rsidR="00325E03">
        <w:t xml:space="preserve">ς εξοικονόμησης ενέργειας και τη μέγιστη βελτίωση της ενεργειακής </w:t>
      </w:r>
      <w:r w:rsidR="003A6FD1">
        <w:t>απόδοση</w:t>
      </w:r>
      <w:r w:rsidR="00325E03">
        <w:t>ς των κατοικιών</w:t>
      </w:r>
      <w:r w:rsidR="003A6FD1">
        <w:t xml:space="preserve">. Μετά την υλοποίηση των παρεμβάσεων, θα διεξάγεται </w:t>
      </w:r>
      <w:r w:rsidR="002A37C3">
        <w:t>δεύτερη</w:t>
      </w:r>
      <w:r w:rsidR="003A6FD1">
        <w:t xml:space="preserve"> ενεργειακή </w:t>
      </w:r>
      <w:r w:rsidR="002A37C3">
        <w:t xml:space="preserve">επιθεώρηση, </w:t>
      </w:r>
      <w:r w:rsidR="003A6FD1">
        <w:t xml:space="preserve">ώστε να </w:t>
      </w:r>
      <w:r w:rsidR="002A37C3">
        <w:t>ελέγχεται κατά πόσο έχ</w:t>
      </w:r>
      <w:r w:rsidR="00EF7861">
        <w:t>ουν</w:t>
      </w:r>
      <w:r w:rsidR="002A37C3">
        <w:t xml:space="preserve"> επιτευχθ</w:t>
      </w:r>
      <w:r w:rsidR="00EF7861">
        <w:t>εί</w:t>
      </w:r>
      <w:r w:rsidR="002A37C3">
        <w:t xml:space="preserve"> οι στόχοι που είχαν τεθεί, και κατά συνέπεια </w:t>
      </w:r>
      <w:r w:rsidR="00EF7861">
        <w:t>η αντίστοιχη</w:t>
      </w:r>
      <w:r w:rsidR="002A37C3">
        <w:t xml:space="preserve"> επιχορήγηση. </w:t>
      </w:r>
      <w:r w:rsidR="003A6FD1">
        <w:t xml:space="preserve"> </w:t>
      </w:r>
    </w:p>
    <w:p w:rsidR="001E1639" w:rsidRDefault="005214AB" w:rsidP="006C5AFD">
      <w:pPr>
        <w:spacing w:after="120" w:line="276" w:lineRule="auto"/>
        <w:jc w:val="both"/>
      </w:pPr>
      <w:r>
        <w:t>Τ</w:t>
      </w:r>
      <w:r w:rsidR="003A6FD1">
        <w:t>ο κόστος του Ενεργειακού Επιθεωρητή</w:t>
      </w:r>
      <w:r w:rsidR="00493D63">
        <w:t xml:space="preserve"> ή Συμβούλου Έργου</w:t>
      </w:r>
      <w:r w:rsidR="003A6FD1">
        <w:t xml:space="preserve">, </w:t>
      </w:r>
      <w:r w:rsidR="00EF7861">
        <w:t>θα καλύπτεται</w:t>
      </w:r>
      <w:r w:rsidR="003A6FD1">
        <w:t xml:space="preserve"> από το Πρόγραμμα εφ</w:t>
      </w:r>
      <w:r w:rsidR="00EF7861">
        <w:t xml:space="preserve">όσον βέβαια η αίτηση λάβει την απαιτούμενη έγκριση. </w:t>
      </w:r>
      <w:r w:rsidR="001E1639">
        <w:t xml:space="preserve">Οι παρεμβάσεις </w:t>
      </w:r>
      <w:r>
        <w:t xml:space="preserve">που </w:t>
      </w:r>
      <w:r w:rsidR="001E1639">
        <w:t>μπορούν να γίνουν από τους ενδιαφερόμενους θα αφορούν τις εξής κατηγορίες:</w:t>
      </w:r>
    </w:p>
    <w:p w:rsidR="001E1639" w:rsidRDefault="001E1639" w:rsidP="006C5AFD">
      <w:pPr>
        <w:spacing w:after="120" w:line="276" w:lineRule="auto"/>
        <w:ind w:left="567"/>
        <w:contextualSpacing/>
        <w:jc w:val="both"/>
      </w:pPr>
      <w:r>
        <w:t>1.</w:t>
      </w:r>
      <w:r>
        <w:tab/>
      </w:r>
      <w:r w:rsidR="006C5AFD">
        <w:t>α</w:t>
      </w:r>
      <w:r>
        <w:t xml:space="preserve">ντικατάσταση </w:t>
      </w:r>
      <w:r w:rsidR="006C5AFD">
        <w:t>κουφωμάτων</w:t>
      </w:r>
    </w:p>
    <w:p w:rsidR="001E1639" w:rsidRDefault="001E1639" w:rsidP="006C5AFD">
      <w:pPr>
        <w:spacing w:after="120" w:line="276" w:lineRule="auto"/>
        <w:ind w:left="567"/>
        <w:contextualSpacing/>
        <w:jc w:val="both"/>
      </w:pPr>
      <w:r>
        <w:t>2.</w:t>
      </w:r>
      <w:r>
        <w:tab/>
      </w:r>
      <w:r w:rsidR="006C5AFD">
        <w:t>τοποθέτηση συστημάτων σκίασης</w:t>
      </w:r>
    </w:p>
    <w:p w:rsidR="006C5AFD" w:rsidRDefault="001E1639" w:rsidP="006C5AFD">
      <w:pPr>
        <w:spacing w:after="120" w:line="276" w:lineRule="auto"/>
        <w:ind w:left="567"/>
        <w:contextualSpacing/>
        <w:jc w:val="both"/>
      </w:pPr>
      <w:r>
        <w:t>3.</w:t>
      </w:r>
      <w:r>
        <w:tab/>
      </w:r>
      <w:r w:rsidR="006C5AFD">
        <w:t>τ</w:t>
      </w:r>
      <w:r>
        <w:t>οποθέτηση θερμομόνωσης στο κτηριακό κέλυφος</w:t>
      </w:r>
    </w:p>
    <w:p w:rsidR="001E1639" w:rsidRDefault="001E1639" w:rsidP="006C5AFD">
      <w:pPr>
        <w:spacing w:after="120" w:line="276" w:lineRule="auto"/>
        <w:ind w:left="567"/>
        <w:contextualSpacing/>
        <w:jc w:val="both"/>
      </w:pPr>
      <w:r>
        <w:t>4.</w:t>
      </w:r>
      <w:r>
        <w:tab/>
      </w:r>
      <w:r w:rsidR="006C5AFD">
        <w:t>αναβάθμιση συστήματος θέρμανσης</w:t>
      </w:r>
      <w:r w:rsidR="005214AB">
        <w:t xml:space="preserve"> / ψύξης</w:t>
      </w:r>
    </w:p>
    <w:p w:rsidR="001E1639" w:rsidRDefault="001E1639" w:rsidP="006C5AFD">
      <w:pPr>
        <w:spacing w:after="120" w:line="276" w:lineRule="auto"/>
        <w:ind w:left="567"/>
        <w:jc w:val="both"/>
      </w:pPr>
      <w:r>
        <w:t>5.</w:t>
      </w:r>
      <w:r>
        <w:tab/>
      </w:r>
      <w:r w:rsidR="006C5AFD">
        <w:t>α</w:t>
      </w:r>
      <w:r>
        <w:t>ναβάθμιση συστήματ</w:t>
      </w:r>
      <w:r w:rsidR="006C5AFD">
        <w:t>ος παροχής ζεστού νερού χρήσης</w:t>
      </w:r>
    </w:p>
    <w:p w:rsidR="00006B8D" w:rsidRDefault="00006B8D" w:rsidP="00782394">
      <w:pPr>
        <w:keepNext/>
        <w:spacing w:after="120" w:line="276" w:lineRule="auto"/>
        <w:jc w:val="both"/>
      </w:pPr>
      <w:r>
        <w:lastRenderedPageBreak/>
        <w:t>Οι παραπάνω παρεμβάσεις θα πρέπει να:</w:t>
      </w:r>
    </w:p>
    <w:p w:rsidR="00006B8D" w:rsidRDefault="00006B8D" w:rsidP="00782394">
      <w:pPr>
        <w:pStyle w:val="a5"/>
        <w:keepNext/>
        <w:numPr>
          <w:ilvl w:val="0"/>
          <w:numId w:val="1"/>
        </w:numPr>
        <w:spacing w:after="120" w:line="276" w:lineRule="auto"/>
        <w:ind w:left="714" w:hanging="357"/>
        <w:jc w:val="both"/>
      </w:pPr>
      <w:r>
        <w:t>ικανοποιούν τις ελάχιστες απαιτήσεις του ΚΕΝΑΚ</w:t>
      </w:r>
    </w:p>
    <w:p w:rsidR="00006B8D" w:rsidRDefault="00006B8D" w:rsidP="006C5AFD">
      <w:pPr>
        <w:pStyle w:val="a5"/>
        <w:numPr>
          <w:ilvl w:val="0"/>
          <w:numId w:val="1"/>
        </w:numPr>
        <w:spacing w:after="120" w:line="276" w:lineRule="auto"/>
        <w:ind w:left="714" w:hanging="357"/>
        <w:jc w:val="both"/>
      </w:pPr>
      <w:r>
        <w:t>επιτυγχάνουν εξοικονόμηση πρωτογενούς ενέργειας μεγαλύτερης από το 40% της κατανάλωσης (</w:t>
      </w:r>
      <w:proofErr w:type="spellStart"/>
      <w:r>
        <w:t>kWh</w:t>
      </w:r>
      <w:proofErr w:type="spellEnd"/>
      <w:r>
        <w:t>/</w:t>
      </w:r>
      <w:proofErr w:type="spellStart"/>
      <w:r>
        <w:t>m</w:t>
      </w:r>
      <w:r w:rsidRPr="005214AB">
        <w:rPr>
          <w:vertAlign w:val="superscript"/>
        </w:rPr>
        <w:t>2</w:t>
      </w:r>
      <w:proofErr w:type="spellEnd"/>
      <w:r>
        <w:t>) του κτηρίου αναφοράς για τις κατηγορίες 1 και 2 του πίνακα</w:t>
      </w:r>
    </w:p>
    <w:p w:rsidR="00782394" w:rsidRDefault="00006B8D" w:rsidP="006C5AFD">
      <w:pPr>
        <w:pStyle w:val="a5"/>
        <w:numPr>
          <w:ilvl w:val="0"/>
          <w:numId w:val="1"/>
        </w:numPr>
        <w:spacing w:after="120" w:line="276" w:lineRule="auto"/>
        <w:contextualSpacing w:val="0"/>
        <w:jc w:val="both"/>
      </w:pPr>
      <w:r>
        <w:t>επιτυγχάνουν εξοικονόμησης πρωτογενούς ενέργειας μεγαλύτερης από το 70% της κατανάλωσης (</w:t>
      </w:r>
      <w:proofErr w:type="spellStart"/>
      <w:r>
        <w:t>kWh</w:t>
      </w:r>
      <w:proofErr w:type="spellEnd"/>
      <w:r>
        <w:t>/</w:t>
      </w:r>
      <w:proofErr w:type="spellStart"/>
      <w:r>
        <w:t>m</w:t>
      </w:r>
      <w:r w:rsidRPr="005214AB">
        <w:rPr>
          <w:vertAlign w:val="superscript"/>
        </w:rPr>
        <w:t>2</w:t>
      </w:r>
      <w:proofErr w:type="spellEnd"/>
      <w:r>
        <w:t>) του κτηρίου αναφοράς για τις υπόλοιπες κατηγορίες</w:t>
      </w:r>
      <w:bookmarkEnd w:id="0"/>
    </w:p>
    <w:p w:rsidR="00782394" w:rsidRDefault="00782394" w:rsidP="00782394">
      <w:pPr>
        <w:pStyle w:val="1"/>
      </w:pPr>
      <w:r>
        <w:t>κριτική σε πρόσφατη σχετική εξαγγελία ΝΔ</w:t>
      </w:r>
    </w:p>
    <w:p w:rsidR="00782394" w:rsidRPr="0073100D" w:rsidRDefault="00782394" w:rsidP="00782394">
      <w:pPr>
        <w:spacing w:after="120"/>
        <w:jc w:val="both"/>
        <w:rPr>
          <w:i/>
        </w:rPr>
      </w:pPr>
      <w:r>
        <w:t xml:space="preserve">Η </w:t>
      </w:r>
      <w:r w:rsidR="00493D63">
        <w:t>προεκλογική εξαγγελία</w:t>
      </w:r>
      <w:r>
        <w:t xml:space="preserve"> είναι: </w:t>
      </w:r>
      <w:r w:rsidRPr="0073100D">
        <w:rPr>
          <w:i/>
        </w:rPr>
        <w:t>«Καθιερώνουμε έκπτωση 40-50% για όλες τις εργασίες ενεργειακής, λειτουργικής και αισθητικής αναβάθμισης, συντήρησης και αξιοποίησης των κτιρίων. Οι πολίτες θα δαπανούν τα χρήματα, θα κρατούν τα τιμολόγια και θα έχουν την έκπτωση φόρου που θα μπορούν να τη χρησιμοποιήσουν για να καλύψουν οποιαδήποτε φορολογική τους υποχρέωση μέσα στην επόμενη τριετία».</w:t>
      </w:r>
    </w:p>
    <w:p w:rsidR="00493D63" w:rsidRDefault="00782394" w:rsidP="00782394">
      <w:pPr>
        <w:spacing w:after="120" w:line="276" w:lineRule="auto"/>
        <w:jc w:val="both"/>
        <w:rPr>
          <w:bCs/>
        </w:rPr>
      </w:pPr>
      <w:r>
        <w:t>Προκειμένου ένα πρόγραμμα εξοικονόμησης ενέργειας να επιτύχει τον στόχο του, είναι απαραίτητη η καταγραφή της κατάστασης πριν και μετά, μέσω Πιστοποιητικών Ενεργειακής Απόδοσης (ΠΕΑ). Προκαλεί ιδιαίτερη εντύπωση ότι σ</w:t>
      </w:r>
      <w:r w:rsidR="00493D63">
        <w:t xml:space="preserve">τη συγκεκριμένη </w:t>
      </w:r>
      <w:r>
        <w:t>εξαγγελία γίνεται λόγος για πρόγραμμα εξοικονόμησης</w:t>
      </w:r>
      <w:r w:rsidR="00493D63">
        <w:t>,</w:t>
      </w:r>
      <w:r>
        <w:t xml:space="preserve"> που όμως θα χρηματοδοτεί </w:t>
      </w:r>
      <w:r w:rsidRPr="0073100D">
        <w:rPr>
          <w:bCs/>
        </w:rPr>
        <w:t xml:space="preserve">εργασίες </w:t>
      </w:r>
      <w:r>
        <w:rPr>
          <w:bCs/>
        </w:rPr>
        <w:t xml:space="preserve">τόσο </w:t>
      </w:r>
      <w:r w:rsidRPr="0073100D">
        <w:rPr>
          <w:bCs/>
        </w:rPr>
        <w:t xml:space="preserve">ενεργειακής αναβάθμισης </w:t>
      </w:r>
      <w:r>
        <w:rPr>
          <w:bCs/>
        </w:rPr>
        <w:t xml:space="preserve">όσο και </w:t>
      </w:r>
      <w:r w:rsidRPr="0073100D">
        <w:rPr>
          <w:bCs/>
        </w:rPr>
        <w:t>λειτουργική</w:t>
      </w:r>
      <w:r>
        <w:rPr>
          <w:bCs/>
        </w:rPr>
        <w:t>ς</w:t>
      </w:r>
      <w:r w:rsidRPr="0073100D">
        <w:rPr>
          <w:bCs/>
        </w:rPr>
        <w:t xml:space="preserve"> και αισθητική</w:t>
      </w:r>
      <w:r>
        <w:rPr>
          <w:bCs/>
        </w:rPr>
        <w:t xml:space="preserve">ς. Δεν υπάρχει, δε, </w:t>
      </w:r>
      <w:r w:rsidRPr="0073100D">
        <w:rPr>
          <w:bCs/>
        </w:rPr>
        <w:t xml:space="preserve">αναφορά στον έλεγχο της αναβάθμισης μέσω </w:t>
      </w:r>
      <w:r>
        <w:rPr>
          <w:bCs/>
        </w:rPr>
        <w:t>ΠΕΑ</w:t>
      </w:r>
      <w:r w:rsidRPr="0073100D">
        <w:rPr>
          <w:bCs/>
        </w:rPr>
        <w:t>.</w:t>
      </w:r>
    </w:p>
    <w:p w:rsidR="00782394" w:rsidRDefault="00782394" w:rsidP="00782394">
      <w:pPr>
        <w:spacing w:after="120" w:line="276" w:lineRule="auto"/>
        <w:jc w:val="both"/>
        <w:rPr>
          <w:bCs/>
        </w:rPr>
      </w:pPr>
      <w:r>
        <w:rPr>
          <w:bCs/>
        </w:rPr>
        <w:t>Η πρόταση της ΝΔ δεν στοχεύει στην εξοικονόμηση ενέργειας και την εκπλήρωση των στόχων του Εθνικού Σχεδίου για την Ενέργεια και την Κλιματική Αλλαγή. Η κλιματική αλλαγή αξιοποιείται ως πρόσχημα προκειμένου να τονωθεί η αγορά ακινήτων, πρωτίστως στηρίζοντας τους ισχυρότερους, καθώς δεν υπάρχουν εισοδηματικά κριτήρια και δεν προβλέπεται άτοκος δανεισμός, οπότε το πρόγραμμα μπορούν να αξιοποιήσουν μόνο όσοι διαθέτουν τα κεφάλαια. Προσχηματικά αξιοποιείται και το επιχείρημα ότι μέσω των φοροαπαλλαγών θα παταχθεί η φοροδιαφυγή, καθώς η ύπαρξη τιμολογίων είναι προφανώς απαραίτητη και στο τρέχον πρόγραμμα εξοικονόμησης ενέργειας.</w:t>
      </w:r>
    </w:p>
    <w:sectPr w:rsidR="00782394" w:rsidSect="00A5373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274" w:rsidRDefault="00A10274" w:rsidP="006F5F8C">
      <w:r>
        <w:separator/>
      </w:r>
    </w:p>
  </w:endnote>
  <w:endnote w:type="continuationSeparator" w:id="0">
    <w:p w:rsidR="00A10274" w:rsidRDefault="00A10274" w:rsidP="006F5F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285842"/>
      <w:docPartObj>
        <w:docPartGallery w:val="Page Numbers (Bottom of Page)"/>
        <w:docPartUnique/>
      </w:docPartObj>
    </w:sdtPr>
    <w:sdtContent>
      <w:p w:rsidR="006F5F8C" w:rsidRDefault="0078268C">
        <w:pPr>
          <w:pStyle w:val="a4"/>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Αυτόματο Σχήμα 22" o:spid="_x0000_s2050" type="#_x0000_t185" style="position:absolute;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" filled="t" strokecolor="gray" strokeweight="2.25pt">
              <v:textbox style="mso-next-textbox:#Αυτόματο Σχήμα 22" inset=",0,,0">
                <w:txbxContent>
                  <w:p w:rsidR="006F5F8C" w:rsidRDefault="0078268C">
                    <w:pPr>
                      <w:jc w:val="center"/>
                    </w:pPr>
                    <w:r>
                      <w:fldChar w:fldCharType="begin"/>
                    </w:r>
                    <w:r w:rsidR="006F5F8C">
                      <w:instrText>PAGE    \* MERGEFORMAT</w:instrText>
                    </w:r>
                    <w:r>
                      <w:fldChar w:fldCharType="separate"/>
                    </w:r>
                    <w:r w:rsidR="00493D63">
                      <w:rPr>
                        <w:noProof/>
                      </w:rPr>
                      <w:t>2</w:t>
                    </w:r>
                    <w: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Αυτόματο Σχήμα 21" o:spid="_x0000_s2049" type="#_x0000_t32" style="position:absolute;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AvS0bJ/AgAA7AQAAA4A&#10;AAAAAAAAAAAAAAAALgIAAGRycy9lMm9Eb2MueG1sUEsBAi0AFAAGAAgAAAAhAPWmTdfXAAAAAgEA&#10;AA8AAAAAAAAAAAAAAAAA2QQAAGRycy9kb3ducmV2LnhtbFBLBQYAAAAABAAEAPMAAADdBQ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274" w:rsidRDefault="00A10274" w:rsidP="006F5F8C">
      <w:r>
        <w:separator/>
      </w:r>
    </w:p>
  </w:footnote>
  <w:footnote w:type="continuationSeparator" w:id="0">
    <w:p w:rsidR="00A10274" w:rsidRDefault="00A10274" w:rsidP="006F5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004B"/>
    <w:multiLevelType w:val="hybridMultilevel"/>
    <w:tmpl w:val="F1BA18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DC126FD"/>
    <w:multiLevelType w:val="hybridMultilevel"/>
    <w:tmpl w:val="1E805F9A"/>
    <w:lvl w:ilvl="0" w:tplc="5F220534">
      <w:numFmt w:val="bullet"/>
      <w:lvlText w:val=""/>
      <w:lvlJc w:val="left"/>
      <w:pPr>
        <w:ind w:left="1080" w:hanging="72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A9348D5"/>
    <w:multiLevelType w:val="hybridMultilevel"/>
    <w:tmpl w:val="B65677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DF80306"/>
    <w:multiLevelType w:val="hybridMultilevel"/>
    <w:tmpl w:val="4760AD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B081C20"/>
    <w:multiLevelType w:val="hybridMultilevel"/>
    <w:tmpl w:val="6BCE2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proofState w:spelling="clean" w:grammar="clean"/>
  <w:stylePaneFormatFilter w:val="3F01"/>
  <w:defaultTabStop w:val="720"/>
  <w:characterSpacingControl w:val="doNotCompress"/>
  <w:hdrShapeDefaults>
    <o:shapedefaults v:ext="edit" spidmax="9218"/>
    <o:shapelayout v:ext="edit">
      <o:idmap v:ext="edit" data="2"/>
      <o:rules v:ext="edit">
        <o:r id="V:Rule2" type="connector" idref="#Αυτόματο Σχήμα 21"/>
      </o:rules>
    </o:shapelayout>
  </w:hdrShapeDefaults>
  <w:footnotePr>
    <w:footnote w:id="-1"/>
    <w:footnote w:id="0"/>
  </w:footnotePr>
  <w:endnotePr>
    <w:endnote w:id="-1"/>
    <w:endnote w:id="0"/>
  </w:endnotePr>
  <w:compat/>
  <w:rsids>
    <w:rsidRoot w:val="00B81910"/>
    <w:rsid w:val="000068AE"/>
    <w:rsid w:val="00006B8D"/>
    <w:rsid w:val="0006206C"/>
    <w:rsid w:val="000B4B99"/>
    <w:rsid w:val="000F656A"/>
    <w:rsid w:val="00160E60"/>
    <w:rsid w:val="001A198C"/>
    <w:rsid w:val="001A6122"/>
    <w:rsid w:val="001E1639"/>
    <w:rsid w:val="00207B5D"/>
    <w:rsid w:val="00285865"/>
    <w:rsid w:val="002A37C3"/>
    <w:rsid w:val="00325E03"/>
    <w:rsid w:val="003A6FD1"/>
    <w:rsid w:val="003D62DC"/>
    <w:rsid w:val="0041595F"/>
    <w:rsid w:val="00417BDC"/>
    <w:rsid w:val="00493D63"/>
    <w:rsid w:val="004F759E"/>
    <w:rsid w:val="005214AB"/>
    <w:rsid w:val="005546C5"/>
    <w:rsid w:val="006007C2"/>
    <w:rsid w:val="006C5AFD"/>
    <w:rsid w:val="006F5F8C"/>
    <w:rsid w:val="007520CD"/>
    <w:rsid w:val="00782394"/>
    <w:rsid w:val="0078268C"/>
    <w:rsid w:val="007A2AF6"/>
    <w:rsid w:val="007F23D2"/>
    <w:rsid w:val="009074D2"/>
    <w:rsid w:val="00974E9B"/>
    <w:rsid w:val="00A10274"/>
    <w:rsid w:val="00A53736"/>
    <w:rsid w:val="00AA0CBC"/>
    <w:rsid w:val="00AC79CE"/>
    <w:rsid w:val="00B81910"/>
    <w:rsid w:val="00BC2156"/>
    <w:rsid w:val="00BC66E1"/>
    <w:rsid w:val="00BF0FE9"/>
    <w:rsid w:val="00D1493F"/>
    <w:rsid w:val="00D5133C"/>
    <w:rsid w:val="00D5428B"/>
    <w:rsid w:val="00D5528D"/>
    <w:rsid w:val="00DC547D"/>
    <w:rsid w:val="00DD08F4"/>
    <w:rsid w:val="00E47A43"/>
    <w:rsid w:val="00EF7861"/>
    <w:rsid w:val="00F830DA"/>
    <w:rsid w:val="00F93250"/>
    <w:rsid w:val="00FC18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736"/>
    <w:rPr>
      <w:sz w:val="24"/>
      <w:szCs w:val="24"/>
    </w:rPr>
  </w:style>
  <w:style w:type="paragraph" w:styleId="1">
    <w:name w:val="heading 1"/>
    <w:basedOn w:val="a"/>
    <w:next w:val="a"/>
    <w:link w:val="1Char"/>
    <w:qFormat/>
    <w:rsid w:val="00782394"/>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5F8C"/>
    <w:pPr>
      <w:tabs>
        <w:tab w:val="center" w:pos="4153"/>
        <w:tab w:val="right" w:pos="8306"/>
      </w:tabs>
    </w:pPr>
  </w:style>
  <w:style w:type="character" w:customStyle="1" w:styleId="Char">
    <w:name w:val="Κεφαλίδα Char"/>
    <w:basedOn w:val="a0"/>
    <w:link w:val="a3"/>
    <w:rsid w:val="006F5F8C"/>
    <w:rPr>
      <w:sz w:val="24"/>
      <w:szCs w:val="24"/>
    </w:rPr>
  </w:style>
  <w:style w:type="paragraph" w:styleId="a4">
    <w:name w:val="footer"/>
    <w:basedOn w:val="a"/>
    <w:link w:val="Char0"/>
    <w:rsid w:val="006F5F8C"/>
    <w:pPr>
      <w:tabs>
        <w:tab w:val="center" w:pos="4153"/>
        <w:tab w:val="right" w:pos="8306"/>
      </w:tabs>
    </w:pPr>
  </w:style>
  <w:style w:type="character" w:customStyle="1" w:styleId="Char0">
    <w:name w:val="Υποσέλιδο Char"/>
    <w:basedOn w:val="a0"/>
    <w:link w:val="a4"/>
    <w:rsid w:val="006F5F8C"/>
    <w:rPr>
      <w:sz w:val="24"/>
      <w:szCs w:val="24"/>
    </w:rPr>
  </w:style>
  <w:style w:type="paragraph" w:styleId="a5">
    <w:name w:val="List Paragraph"/>
    <w:basedOn w:val="a"/>
    <w:uiPriority w:val="34"/>
    <w:qFormat/>
    <w:rsid w:val="00006B8D"/>
    <w:pPr>
      <w:ind w:left="720"/>
      <w:contextualSpacing/>
    </w:pPr>
  </w:style>
  <w:style w:type="paragraph" w:styleId="a6">
    <w:name w:val="Title"/>
    <w:basedOn w:val="a"/>
    <w:next w:val="a"/>
    <w:link w:val="Char1"/>
    <w:qFormat/>
    <w:rsid w:val="006C5A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0"/>
    <w:link w:val="a6"/>
    <w:rsid w:val="006C5AFD"/>
    <w:rPr>
      <w:rFonts w:asciiTheme="majorHAnsi" w:eastAsiaTheme="majorEastAsia" w:hAnsiTheme="majorHAnsi" w:cstheme="majorBidi"/>
      <w:color w:val="17365D" w:themeColor="text2" w:themeShade="BF"/>
      <w:spacing w:val="5"/>
      <w:kern w:val="28"/>
      <w:sz w:val="52"/>
      <w:szCs w:val="52"/>
    </w:rPr>
  </w:style>
  <w:style w:type="table" w:styleId="2">
    <w:name w:val="Table Colorful 2"/>
    <w:basedOn w:val="a1"/>
    <w:rsid w:val="006C5AF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4">
    <w:name w:val="Table List 4"/>
    <w:basedOn w:val="a1"/>
    <w:rsid w:val="006C5AF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7">
    <w:name w:val="Table List 7"/>
    <w:basedOn w:val="a1"/>
    <w:rsid w:val="006C5AF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1Char">
    <w:name w:val="Επικεφαλίδα 1 Char"/>
    <w:basedOn w:val="a0"/>
    <w:link w:val="1"/>
    <w:rsid w:val="0078239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5F8C"/>
    <w:pPr>
      <w:tabs>
        <w:tab w:val="center" w:pos="4153"/>
        <w:tab w:val="right" w:pos="8306"/>
      </w:tabs>
    </w:pPr>
  </w:style>
  <w:style w:type="character" w:customStyle="1" w:styleId="Char">
    <w:name w:val="Κεφαλίδα Char"/>
    <w:basedOn w:val="a0"/>
    <w:link w:val="a3"/>
    <w:rsid w:val="006F5F8C"/>
    <w:rPr>
      <w:sz w:val="24"/>
      <w:szCs w:val="24"/>
    </w:rPr>
  </w:style>
  <w:style w:type="paragraph" w:styleId="a4">
    <w:name w:val="footer"/>
    <w:basedOn w:val="a"/>
    <w:link w:val="Char0"/>
    <w:rsid w:val="006F5F8C"/>
    <w:pPr>
      <w:tabs>
        <w:tab w:val="center" w:pos="4153"/>
        <w:tab w:val="right" w:pos="8306"/>
      </w:tabs>
    </w:pPr>
  </w:style>
  <w:style w:type="character" w:customStyle="1" w:styleId="Char0">
    <w:name w:val="Υποσέλιδο Char"/>
    <w:basedOn w:val="a0"/>
    <w:link w:val="a4"/>
    <w:rsid w:val="006F5F8C"/>
    <w:rPr>
      <w:sz w:val="24"/>
      <w:szCs w:val="24"/>
    </w:rPr>
  </w:style>
  <w:style w:type="paragraph" w:styleId="a5">
    <w:name w:val="List Paragraph"/>
    <w:basedOn w:val="a"/>
    <w:uiPriority w:val="34"/>
    <w:qFormat/>
    <w:rsid w:val="00006B8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961</Words>
  <Characters>5195</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Michalopoulou Elli</dc:creator>
  <cp:lastModifiedBy>user</cp:lastModifiedBy>
  <cp:revision>2</cp:revision>
  <cp:lastPrinted>2019-06-26T15:22:00Z</cp:lastPrinted>
  <dcterms:created xsi:type="dcterms:W3CDTF">2019-06-26T15:27:00Z</dcterms:created>
  <dcterms:modified xsi:type="dcterms:W3CDTF">2019-06-26T15:27:00Z</dcterms:modified>
</cp:coreProperties>
</file>