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814" w:rsidRPr="00EA2FD3" w:rsidRDefault="00523814" w:rsidP="00523814">
      <w:pPr>
        <w:widowControl/>
        <w:tabs>
          <w:tab w:val="clear" w:pos="425"/>
          <w:tab w:val="clear" w:pos="851"/>
          <w:tab w:val="clear" w:pos="1276"/>
        </w:tabs>
        <w:spacing w:after="0"/>
        <w:rPr>
          <w:rFonts w:ascii="Times New Roman" w:eastAsia="Calibri" w:hAnsi="Times New Roman"/>
          <w:color w:val="000000"/>
          <w:sz w:val="24"/>
          <w:szCs w:val="24"/>
        </w:rPr>
      </w:pPr>
      <w:bookmarkStart w:id="0" w:name="_GoBack"/>
      <w:bookmarkEnd w:id="0"/>
      <w:r>
        <w:rPr>
          <w:rFonts w:ascii="Times New Roman" w:hAnsi="Times New Roman"/>
          <w:sz w:val="24"/>
          <w:szCs w:val="24"/>
        </w:rPr>
        <w:t xml:space="preserve">EL </w:t>
      </w:r>
    </w:p>
    <w:p w:rsidR="00523814" w:rsidRPr="00EA2FD3" w:rsidRDefault="00523814" w:rsidP="00523814">
      <w:pPr>
        <w:widowControl/>
        <w:tabs>
          <w:tab w:val="clear" w:pos="425"/>
          <w:tab w:val="clear" w:pos="851"/>
          <w:tab w:val="clear" w:pos="1276"/>
        </w:tabs>
        <w:autoSpaceDE w:val="0"/>
        <w:autoSpaceDN w:val="0"/>
        <w:adjustRightInd w:val="0"/>
        <w:spacing w:after="0"/>
        <w:jc w:val="both"/>
        <w:rPr>
          <w:rFonts w:ascii="Times New Roman" w:eastAsia="Calibri" w:hAnsi="Times New Roman"/>
          <w:color w:val="000000"/>
          <w:sz w:val="24"/>
          <w:szCs w:val="24"/>
        </w:rPr>
      </w:pPr>
      <w:r>
        <w:rPr>
          <w:rFonts w:ascii="Times New Roman" w:hAnsi="Times New Roman"/>
          <w:color w:val="000000"/>
          <w:sz w:val="24"/>
          <w:szCs w:val="24"/>
        </w:rPr>
        <w:t>P-006232/2020</w:t>
      </w:r>
    </w:p>
    <w:p w:rsidR="00523814" w:rsidRPr="00EA2FD3" w:rsidRDefault="00523814" w:rsidP="00523814">
      <w:pPr>
        <w:widowControl/>
        <w:tabs>
          <w:tab w:val="clear" w:pos="425"/>
          <w:tab w:val="clear" w:pos="851"/>
          <w:tab w:val="clear" w:pos="1276"/>
        </w:tabs>
        <w:autoSpaceDE w:val="0"/>
        <w:autoSpaceDN w:val="0"/>
        <w:adjustRightInd w:val="0"/>
        <w:spacing w:after="0"/>
        <w:jc w:val="both"/>
        <w:rPr>
          <w:rFonts w:ascii="Times New Roman" w:eastAsia="Calibri" w:hAnsi="Times New Roman"/>
          <w:color w:val="000000"/>
          <w:sz w:val="24"/>
          <w:szCs w:val="24"/>
        </w:rPr>
      </w:pPr>
      <w:r>
        <w:rPr>
          <w:rFonts w:ascii="Times New Roman" w:hAnsi="Times New Roman"/>
          <w:color w:val="000000"/>
          <w:sz w:val="24"/>
          <w:szCs w:val="24"/>
        </w:rPr>
        <w:t xml:space="preserve">Γραπτή απάντηση του κ. Sinkevičius </w:t>
      </w:r>
    </w:p>
    <w:p w:rsidR="00523814" w:rsidRPr="00EA2FD3" w:rsidRDefault="00523814" w:rsidP="00523814">
      <w:pPr>
        <w:widowControl/>
        <w:tabs>
          <w:tab w:val="clear" w:pos="425"/>
          <w:tab w:val="clear" w:pos="851"/>
          <w:tab w:val="clear" w:pos="1276"/>
        </w:tabs>
        <w:autoSpaceDE w:val="0"/>
        <w:autoSpaceDN w:val="0"/>
        <w:adjustRightInd w:val="0"/>
        <w:spacing w:after="0"/>
        <w:jc w:val="both"/>
        <w:rPr>
          <w:rFonts w:ascii="Times New Roman" w:eastAsia="Calibri" w:hAnsi="Times New Roman"/>
          <w:color w:val="000000"/>
          <w:sz w:val="24"/>
          <w:szCs w:val="24"/>
        </w:rPr>
      </w:pPr>
      <w:r>
        <w:rPr>
          <w:rFonts w:ascii="Times New Roman" w:hAnsi="Times New Roman"/>
          <w:color w:val="000000"/>
          <w:sz w:val="24"/>
          <w:szCs w:val="24"/>
        </w:rPr>
        <w:t xml:space="preserve">εξ ονόματος της Ευρωπαϊκής Επιτροπής </w:t>
      </w:r>
    </w:p>
    <w:p w:rsidR="00523814" w:rsidRPr="00EA2FD3" w:rsidRDefault="00523814" w:rsidP="00523814">
      <w:pPr>
        <w:widowControl/>
        <w:tabs>
          <w:tab w:val="clear" w:pos="425"/>
          <w:tab w:val="clear" w:pos="851"/>
          <w:tab w:val="clear" w:pos="1276"/>
        </w:tabs>
        <w:autoSpaceDE w:val="0"/>
        <w:autoSpaceDN w:val="0"/>
        <w:adjustRightInd w:val="0"/>
        <w:spacing w:after="0"/>
        <w:jc w:val="both"/>
        <w:rPr>
          <w:rFonts w:ascii="Times New Roman" w:eastAsia="Calibri" w:hAnsi="Times New Roman"/>
          <w:color w:val="000000"/>
          <w:sz w:val="24"/>
          <w:szCs w:val="24"/>
        </w:rPr>
      </w:pPr>
      <w:r>
        <w:rPr>
          <w:rFonts w:ascii="Times New Roman" w:hAnsi="Times New Roman"/>
          <w:color w:val="000000"/>
          <w:sz w:val="24"/>
          <w:szCs w:val="24"/>
        </w:rPr>
        <w:t xml:space="preserve">(25.1.2021) </w:t>
      </w:r>
    </w:p>
    <w:p w:rsidR="00EA2FD3" w:rsidRPr="00281057" w:rsidRDefault="00EA2FD3" w:rsidP="00523814">
      <w:pPr>
        <w:widowControl/>
        <w:tabs>
          <w:tab w:val="clear" w:pos="425"/>
          <w:tab w:val="clear" w:pos="851"/>
          <w:tab w:val="clear" w:pos="1276"/>
        </w:tabs>
        <w:autoSpaceDE w:val="0"/>
        <w:autoSpaceDN w:val="0"/>
        <w:adjustRightInd w:val="0"/>
        <w:spacing w:after="0"/>
        <w:jc w:val="both"/>
        <w:rPr>
          <w:rFonts w:ascii="Times New Roman" w:eastAsia="Calibri" w:hAnsi="Times New Roman"/>
          <w:sz w:val="24"/>
          <w:szCs w:val="24"/>
          <w:lang w:eastAsia="en-US"/>
        </w:rPr>
      </w:pPr>
    </w:p>
    <w:p w:rsidR="00C65861" w:rsidRPr="000D6DE0" w:rsidRDefault="00C65861" w:rsidP="00C65861">
      <w:pPr>
        <w:widowControl/>
        <w:tabs>
          <w:tab w:val="clear" w:pos="425"/>
          <w:tab w:val="clear" w:pos="851"/>
          <w:tab w:val="clear" w:pos="1276"/>
        </w:tabs>
        <w:autoSpaceDE w:val="0"/>
        <w:autoSpaceDN w:val="0"/>
        <w:adjustRightInd w:val="0"/>
        <w:spacing w:after="0"/>
        <w:jc w:val="both"/>
        <w:rPr>
          <w:rFonts w:ascii="Times New Roman" w:eastAsia="Calibri" w:hAnsi="Times New Roman"/>
          <w:sz w:val="24"/>
          <w:szCs w:val="24"/>
          <w:lang w:eastAsia="en-US"/>
        </w:rPr>
      </w:pPr>
    </w:p>
    <w:p w:rsidR="00D80536" w:rsidRPr="00090F5D" w:rsidRDefault="00AD3725" w:rsidP="00AD3725">
      <w:pPr>
        <w:widowControl/>
        <w:tabs>
          <w:tab w:val="clear" w:pos="425"/>
          <w:tab w:val="clear" w:pos="851"/>
          <w:tab w:val="clear" w:pos="1276"/>
        </w:tabs>
        <w:autoSpaceDE w:val="0"/>
        <w:autoSpaceDN w:val="0"/>
        <w:adjustRightInd w:val="0"/>
        <w:spacing w:after="0"/>
        <w:jc w:val="both"/>
        <w:rPr>
          <w:rFonts w:ascii="Times New Roman" w:eastAsia="Calibri" w:hAnsi="Times New Roman"/>
          <w:sz w:val="24"/>
          <w:szCs w:val="24"/>
        </w:rPr>
      </w:pPr>
      <w:r>
        <w:rPr>
          <w:rFonts w:ascii="Times New Roman" w:hAnsi="Times New Roman"/>
          <w:sz w:val="24"/>
          <w:szCs w:val="24"/>
        </w:rPr>
        <w:t>Η Επιτροπή επαναλαμβάνει ότι για τις εισαγωγές των περισσότερων προϊόντων αλιείας απαιτείται πιστοποιητικό αλιευμάτων επικυρωμένο από το κράτος σημαίας του αλιευτικού σκάφους, όπως προβλέπεται στον κανονισμό (ΕΚ) αριθ. 1005/2008 (κανονισμός ΠΛΑ)</w:t>
      </w:r>
      <w:r>
        <w:rPr>
          <w:rStyle w:val="FootnoteReference"/>
          <w:rFonts w:ascii="Times New Roman" w:eastAsia="Calibri" w:hAnsi="Times New Roman" w:cs="Times New Roman"/>
          <w:sz w:val="24"/>
          <w:szCs w:val="24"/>
          <w:lang w:val="en-IE" w:eastAsia="en-US"/>
        </w:rPr>
        <w:footnoteReference w:id="1"/>
      </w:r>
      <w:r>
        <w:rPr>
          <w:rFonts w:ascii="Times New Roman" w:hAnsi="Times New Roman"/>
          <w:sz w:val="24"/>
          <w:szCs w:val="24"/>
        </w:rPr>
        <w:t xml:space="preserve">. Στο πλαίσιο αυτό, τα κράτη μέλη της ΕΕ δύνανται να ελέγχουν και ενδεχομένως να επαληθεύουν το περιεχόμενο των πιστοποιητικών αλιευμάτων, σε περίπτωση που υπάρχουν αμφιβολίες ως προς το αληθές των πληροφοριών που περιέχονται σε αυτά. Για τον σκοπό αυτό, σε περίπτωση που εγείρονται αμφιβολίες από ένα ή περισσότερα κράτη μέλη σχετικά με τα πιστοποιητικά αλιευμάτων που εκδίδονται από τρίτη χώρα, βάσει των συλλεγόμενων πληροφοριών σχετικά με δραστηριότητες ΠΛΑ αλιείας, τα κράτη μέλη έχουν τη δυνατότητα να υποβάλουν αιτήσεις επαλήθευσης στην τρίτη χώρα, όσον αφορά τις πληροφορίες που περιέχονται στο πιστοποιητικό αλιευμάτων. Εάν, κατά τη διαδικασία αυτή, η απάντηση της τρίτης χώρας δεν δίνει ακριβείς πληροφορίες, τα προϊόντα είναι δυνατόν να απορριφθούν. Δυνάμει του κανονισμού ΠΛΑ, εναπόκειται στα οικεία κράτη μέλη της ΕΕ να λαμβάνουν τις τελικές ατομικές αποφάσεις. </w:t>
      </w:r>
    </w:p>
    <w:p w:rsidR="00C65861" w:rsidRPr="00281057" w:rsidRDefault="00C65861" w:rsidP="00523814">
      <w:pPr>
        <w:widowControl/>
        <w:tabs>
          <w:tab w:val="clear" w:pos="425"/>
          <w:tab w:val="clear" w:pos="851"/>
          <w:tab w:val="clear" w:pos="1276"/>
        </w:tabs>
        <w:autoSpaceDE w:val="0"/>
        <w:autoSpaceDN w:val="0"/>
        <w:adjustRightInd w:val="0"/>
        <w:spacing w:after="0"/>
        <w:jc w:val="both"/>
        <w:rPr>
          <w:rFonts w:ascii="Times New Roman" w:eastAsia="Calibri" w:hAnsi="Times New Roman"/>
          <w:sz w:val="24"/>
          <w:szCs w:val="24"/>
          <w:lang w:eastAsia="en-US"/>
        </w:rPr>
      </w:pPr>
    </w:p>
    <w:p w:rsidR="009E6E87" w:rsidRPr="00090F5D" w:rsidRDefault="009E6E87" w:rsidP="009E6E87">
      <w:pPr>
        <w:widowControl/>
        <w:tabs>
          <w:tab w:val="clear" w:pos="425"/>
          <w:tab w:val="left" w:pos="720"/>
        </w:tabs>
        <w:autoSpaceDE w:val="0"/>
        <w:autoSpaceDN w:val="0"/>
        <w:adjustRightInd w:val="0"/>
        <w:spacing w:after="0"/>
        <w:jc w:val="both"/>
        <w:rPr>
          <w:rFonts w:ascii="Times New Roman" w:eastAsia="Calibri" w:hAnsi="Times New Roman"/>
          <w:sz w:val="24"/>
          <w:szCs w:val="24"/>
        </w:rPr>
      </w:pPr>
      <w:r>
        <w:rPr>
          <w:rFonts w:ascii="Times New Roman" w:hAnsi="Times New Roman"/>
          <w:sz w:val="24"/>
          <w:szCs w:val="24"/>
        </w:rPr>
        <w:t xml:space="preserve">Οι αρμόδιες αρχές των κρατών μελών θα πρέπει να κοινοποιούν τις αρνήσεις εισαγωγής τόσο στην Επιτροπή όσο και στο οικείο κράτος σημαίας. Να σημειωθεί επίσης ότι βάσει του άρθρου 18 παράγραφος 4 του κανονισμού ΠΛΑ, κάθε πρόσωπο δικαιούται να προσφύγει κατά των αποφάσεων άρνησης εισαγωγής. </w:t>
      </w:r>
    </w:p>
    <w:p w:rsidR="009E6E87" w:rsidRPr="00281057" w:rsidRDefault="009E6E87" w:rsidP="00523814">
      <w:pPr>
        <w:widowControl/>
        <w:tabs>
          <w:tab w:val="clear" w:pos="425"/>
          <w:tab w:val="clear" w:pos="851"/>
          <w:tab w:val="clear" w:pos="1276"/>
        </w:tabs>
        <w:autoSpaceDE w:val="0"/>
        <w:autoSpaceDN w:val="0"/>
        <w:adjustRightInd w:val="0"/>
        <w:spacing w:after="0"/>
        <w:jc w:val="both"/>
        <w:rPr>
          <w:rFonts w:ascii="Times New Roman" w:eastAsia="Calibri" w:hAnsi="Times New Roman"/>
          <w:sz w:val="24"/>
          <w:szCs w:val="24"/>
          <w:lang w:eastAsia="en-US"/>
        </w:rPr>
      </w:pPr>
    </w:p>
    <w:sectPr w:rsidR="009E6E87" w:rsidRPr="002810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1B8" w:rsidRDefault="0069057E">
      <w:pPr>
        <w:spacing w:after="0"/>
      </w:pPr>
      <w:r>
        <w:separator/>
      </w:r>
    </w:p>
  </w:endnote>
  <w:endnote w:type="continuationSeparator" w:id="0">
    <w:p w:rsidR="00D831B8" w:rsidRDefault="006905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C7" w:rsidRDefault="002D7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C7" w:rsidRDefault="002D7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C7" w:rsidRDefault="002D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1B8" w:rsidRDefault="0069057E">
      <w:pPr>
        <w:spacing w:after="0"/>
      </w:pPr>
      <w:r>
        <w:separator/>
      </w:r>
    </w:p>
  </w:footnote>
  <w:footnote w:type="continuationSeparator" w:id="0">
    <w:p w:rsidR="00D831B8" w:rsidRDefault="0069057E">
      <w:pPr>
        <w:spacing w:after="0"/>
      </w:pPr>
      <w:r>
        <w:continuationSeparator/>
      </w:r>
    </w:p>
  </w:footnote>
  <w:footnote w:id="1">
    <w:p w:rsidR="00090F5D" w:rsidRPr="00090F5D" w:rsidRDefault="00090F5D">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1" w:history="1">
        <w:r>
          <w:rPr>
            <w:rStyle w:val="Hyperlink"/>
            <w:rFonts w:ascii="Times New Roman" w:hAnsi="Times New Roman"/>
            <w:sz w:val="20"/>
          </w:rPr>
          <w:t>https://eur-lex.europa.eu/legal-content/EL/ALL/?uri=celex%3A32008R1005</w:t>
        </w:r>
      </w:hyperlink>
      <w:r>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90" w:rsidRDefault="001B1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90" w:rsidRDefault="001B1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90" w:rsidRDefault="001B1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372D2"/>
    <w:rsid w:val="00084BAE"/>
    <w:rsid w:val="000872A0"/>
    <w:rsid w:val="00090F5D"/>
    <w:rsid w:val="000B63B5"/>
    <w:rsid w:val="000D6DE0"/>
    <w:rsid w:val="001825B4"/>
    <w:rsid w:val="001B149A"/>
    <w:rsid w:val="001B1D90"/>
    <w:rsid w:val="001F4EF9"/>
    <w:rsid w:val="00281057"/>
    <w:rsid w:val="002D5A66"/>
    <w:rsid w:val="002D72C7"/>
    <w:rsid w:val="002E0C77"/>
    <w:rsid w:val="002E7107"/>
    <w:rsid w:val="002F14D2"/>
    <w:rsid w:val="00325E6A"/>
    <w:rsid w:val="003433BA"/>
    <w:rsid w:val="00365737"/>
    <w:rsid w:val="003B0155"/>
    <w:rsid w:val="003F3884"/>
    <w:rsid w:val="00415D08"/>
    <w:rsid w:val="0041660D"/>
    <w:rsid w:val="004565BD"/>
    <w:rsid w:val="004F13B3"/>
    <w:rsid w:val="00523814"/>
    <w:rsid w:val="00527E04"/>
    <w:rsid w:val="00533D91"/>
    <w:rsid w:val="00543D66"/>
    <w:rsid w:val="005562A1"/>
    <w:rsid w:val="0069057E"/>
    <w:rsid w:val="006C6CD4"/>
    <w:rsid w:val="00843929"/>
    <w:rsid w:val="009A196B"/>
    <w:rsid w:val="009C5D8D"/>
    <w:rsid w:val="009E6E87"/>
    <w:rsid w:val="00A77B3E"/>
    <w:rsid w:val="00A94E32"/>
    <w:rsid w:val="00AA3657"/>
    <w:rsid w:val="00AA391F"/>
    <w:rsid w:val="00AC13E7"/>
    <w:rsid w:val="00AD3725"/>
    <w:rsid w:val="00B045FC"/>
    <w:rsid w:val="00B23DC7"/>
    <w:rsid w:val="00B37C57"/>
    <w:rsid w:val="00B736AB"/>
    <w:rsid w:val="00BB2123"/>
    <w:rsid w:val="00BE4436"/>
    <w:rsid w:val="00C65861"/>
    <w:rsid w:val="00C87482"/>
    <w:rsid w:val="00CA2A55"/>
    <w:rsid w:val="00CD4AFB"/>
    <w:rsid w:val="00D2626F"/>
    <w:rsid w:val="00D578D0"/>
    <w:rsid w:val="00D80536"/>
    <w:rsid w:val="00D831B8"/>
    <w:rsid w:val="00D848B2"/>
    <w:rsid w:val="00DD399F"/>
    <w:rsid w:val="00E21254"/>
    <w:rsid w:val="00EA2FD3"/>
    <w:rsid w:val="00F245A1"/>
    <w:rsid w:val="00F37050"/>
    <w:rsid w:val="00FE3D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link w:val="FootnoteTextChar"/>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character" w:customStyle="1" w:styleId="FootnoteTextChar">
    <w:name w:val="Footnote Text Char"/>
    <w:basedOn w:val="DefaultParagraphFont"/>
    <w:link w:val="FootnoteText"/>
    <w:semiHidden/>
    <w:rsid w:val="000D6DE0"/>
    <w:rPr>
      <w:rFonts w:ascii="Arial" w:hAnsi="Arial"/>
      <w:sz w:val="18"/>
    </w:rPr>
  </w:style>
  <w:style w:type="character" w:styleId="CommentReference">
    <w:name w:val="annotation reference"/>
    <w:basedOn w:val="DefaultParagraphFont"/>
    <w:semiHidden/>
    <w:unhideWhenUsed/>
    <w:rsid w:val="000872A0"/>
    <w:rPr>
      <w:sz w:val="16"/>
      <w:szCs w:val="16"/>
    </w:rPr>
  </w:style>
  <w:style w:type="paragraph" w:styleId="CommentText">
    <w:name w:val="annotation text"/>
    <w:basedOn w:val="Normal"/>
    <w:link w:val="CommentTextChar"/>
    <w:semiHidden/>
    <w:unhideWhenUsed/>
    <w:rsid w:val="000872A0"/>
  </w:style>
  <w:style w:type="character" w:customStyle="1" w:styleId="CommentTextChar">
    <w:name w:val="Comment Text Char"/>
    <w:basedOn w:val="DefaultParagraphFont"/>
    <w:link w:val="CommentText"/>
    <w:semiHidden/>
    <w:rsid w:val="000872A0"/>
    <w:rPr>
      <w:rFonts w:ascii="Arial" w:hAnsi="Arial"/>
    </w:rPr>
  </w:style>
  <w:style w:type="paragraph" w:styleId="CommentSubject">
    <w:name w:val="annotation subject"/>
    <w:basedOn w:val="CommentText"/>
    <w:next w:val="CommentText"/>
    <w:link w:val="CommentSubjectChar"/>
    <w:semiHidden/>
    <w:unhideWhenUsed/>
    <w:rsid w:val="000872A0"/>
    <w:rPr>
      <w:b/>
      <w:bCs/>
    </w:rPr>
  </w:style>
  <w:style w:type="character" w:customStyle="1" w:styleId="CommentSubjectChar">
    <w:name w:val="Comment Subject Char"/>
    <w:basedOn w:val="CommentTextChar"/>
    <w:link w:val="CommentSubject"/>
    <w:semiHidden/>
    <w:rsid w:val="000872A0"/>
    <w:rPr>
      <w:rFonts w:ascii="Arial" w:hAnsi="Arial"/>
      <w:b/>
      <w:bCs/>
    </w:rPr>
  </w:style>
  <w:style w:type="paragraph" w:styleId="Revision">
    <w:name w:val="Revision"/>
    <w:hidden/>
    <w:uiPriority w:val="99"/>
    <w:semiHidden/>
    <w:rsid w:val="000872A0"/>
    <w:rPr>
      <w:rFonts w:ascii="Arial" w:hAnsi="Arial"/>
    </w:rPr>
  </w:style>
  <w:style w:type="character" w:styleId="FollowedHyperlink">
    <w:name w:val="FollowedHyperlink"/>
    <w:basedOn w:val="DefaultParagraphFont"/>
    <w:semiHidden/>
    <w:unhideWhenUsed/>
    <w:rsid w:val="00AC1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0864">
      <w:bodyDiv w:val="1"/>
      <w:marLeft w:val="0"/>
      <w:marRight w:val="0"/>
      <w:marTop w:val="0"/>
      <w:marBottom w:val="0"/>
      <w:divBdr>
        <w:top w:val="none" w:sz="0" w:space="0" w:color="auto"/>
        <w:left w:val="none" w:sz="0" w:space="0" w:color="auto"/>
        <w:bottom w:val="none" w:sz="0" w:space="0" w:color="auto"/>
        <w:right w:val="none" w:sz="0" w:space="0" w:color="auto"/>
      </w:divBdr>
    </w:div>
    <w:div w:id="537083632">
      <w:bodyDiv w:val="1"/>
      <w:marLeft w:val="0"/>
      <w:marRight w:val="0"/>
      <w:marTop w:val="0"/>
      <w:marBottom w:val="0"/>
      <w:divBdr>
        <w:top w:val="none" w:sz="0" w:space="0" w:color="auto"/>
        <w:left w:val="none" w:sz="0" w:space="0" w:color="auto"/>
        <w:bottom w:val="none" w:sz="0" w:space="0" w:color="auto"/>
        <w:right w:val="none" w:sz="0" w:space="0" w:color="auto"/>
      </w:divBdr>
    </w:div>
    <w:div w:id="595553566">
      <w:bodyDiv w:val="1"/>
      <w:marLeft w:val="0"/>
      <w:marRight w:val="0"/>
      <w:marTop w:val="0"/>
      <w:marBottom w:val="0"/>
      <w:divBdr>
        <w:top w:val="none" w:sz="0" w:space="0" w:color="auto"/>
        <w:left w:val="none" w:sz="0" w:space="0" w:color="auto"/>
        <w:bottom w:val="none" w:sz="0" w:space="0" w:color="auto"/>
        <w:right w:val="none" w:sz="0" w:space="0" w:color="auto"/>
      </w:divBdr>
    </w:div>
    <w:div w:id="790438304">
      <w:bodyDiv w:val="1"/>
      <w:marLeft w:val="0"/>
      <w:marRight w:val="0"/>
      <w:marTop w:val="0"/>
      <w:marBottom w:val="0"/>
      <w:divBdr>
        <w:top w:val="none" w:sz="0" w:space="0" w:color="auto"/>
        <w:left w:val="none" w:sz="0" w:space="0" w:color="auto"/>
        <w:bottom w:val="none" w:sz="0" w:space="0" w:color="auto"/>
        <w:right w:val="none" w:sz="0" w:space="0" w:color="auto"/>
      </w:divBdr>
    </w:div>
    <w:div w:id="1744066999">
      <w:bodyDiv w:val="1"/>
      <w:marLeft w:val="0"/>
      <w:marRight w:val="0"/>
      <w:marTop w:val="0"/>
      <w:marBottom w:val="0"/>
      <w:divBdr>
        <w:top w:val="none" w:sz="0" w:space="0" w:color="auto"/>
        <w:left w:val="none" w:sz="0" w:space="0" w:color="auto"/>
        <w:bottom w:val="none" w:sz="0" w:space="0" w:color="auto"/>
        <w:right w:val="none" w:sz="0" w:space="0" w:color="auto"/>
      </w:divBdr>
    </w:div>
    <w:div w:id="194230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notes.xml.rels><?xml version="1.0" encoding="UTF-8" standalone="yes"?>
<Relationships xmlns="http://schemas.openxmlformats.org/package/2006/relationships">
<Relationship Id="rId1" Target="https://eur-lex.europa.eu/legal-content/EL/ALL/?uri=celex%3A32008R1005"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3ECBA-223B-4696-B9E4-78319579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1284</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2021-01-19T08:47:00Z</dcterms:created>
  <dcterms:modified xsi:type="dcterms:W3CDTF">2021-01-22T08:19:00Z</dcterms:modified>
  <cp:revision>1</cp:revision>
</cp:coreProperties>
</file>