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39BE5" w14:textId="3610CABD" w:rsidR="001944FA" w:rsidRDefault="000D5139">
      <w:bookmarkStart w:id="0" w:name="_GoBack"/>
      <w:bookmarkEnd w:id="0"/>
      <w:r>
        <w:t>EL</w:t>
      </w:r>
      <w:r>
        <w:cr/>
        <w:t>E-000659/2021</w:t>
      </w:r>
      <w:r>
        <w:cr/>
        <w:t>Απάντηση της κ. Κυριακίδου</w:t>
      </w:r>
      <w:r>
        <w:cr/>
        <w:t>εξ ονόματος της Ευρωπαϊκής Επιτροπής</w:t>
      </w:r>
      <w:r>
        <w:cr/>
        <w:t>(14.4.2021)</w:t>
      </w:r>
      <w:r>
        <w:cr/>
      </w:r>
    </w:p>
    <w:p w14:paraId="3D3E72DA" w14:textId="77777777" w:rsidR="00136555" w:rsidRPr="00136555" w:rsidRDefault="00136555">
      <w:pPr>
        <w:rPr>
          <w:rFonts w:ascii="Times New Roman" w:hAnsi="Times New Roman" w:cs="Times New Roman"/>
          <w:szCs w:val="24"/>
        </w:rPr>
      </w:pPr>
    </w:p>
    <w:p w14:paraId="5740954E" w14:textId="7CFD8D29" w:rsidR="004335CE" w:rsidRPr="00136555" w:rsidRDefault="004335CE" w:rsidP="004335CE">
      <w:pPr>
        <w:jc w:val="both"/>
        <w:rPr>
          <w:rFonts w:ascii="Times New Roman" w:hAnsi="Times New Roman" w:cs="Times New Roman"/>
          <w:szCs w:val="24"/>
        </w:rPr>
      </w:pPr>
      <w:r>
        <w:rPr>
          <w:rFonts w:ascii="Times New Roman" w:hAnsi="Times New Roman"/>
          <w:szCs w:val="24"/>
        </w:rPr>
        <w:t>1. Η βελτίωση της ενημέρωσης των καταναλωτών και η ενθάρρυνση της υιοθέτησης μιας υγιεινής διατροφής αποτελούν σημαντικούς στόχους της στρατηγικής «Από το αγρόκτημα στο πιάτο»</w:t>
      </w:r>
      <w:r>
        <w:rPr>
          <w:rFonts w:ascii="Times New Roman" w:hAnsi="Times New Roman" w:cs="Times New Roman"/>
          <w:szCs w:val="24"/>
          <w:vertAlign w:val="superscript"/>
        </w:rPr>
        <w:footnoteReference w:id="1"/>
      </w:r>
      <w:r>
        <w:rPr>
          <w:rFonts w:ascii="Times New Roman" w:hAnsi="Times New Roman"/>
          <w:szCs w:val="24"/>
        </w:rPr>
        <w:t>. Η Επιτροπή ανακοίνωσε τη φιλοδοξία της να εκπονήσει έως το τέλος του 2022 πρόταση για εναρμονισμένη υποχρεωτική διατροφική επισήμανση στο εμπρόσθιο μέρος της συσκευασίας σε επίπεδο ΕΕ. Η στρατηγική δεν συνιστά συγκεκριμένο είδος συστήματος διατροφικής επισήμανσης στο εμπρόσθιο μέρος της συσκευασίας. Ως πρώτο βήμα, η Επιτροπή δρομολόγησε εκτίμηση επιπτώσεων σχετικά με τις διάφορες πιθανές επιλογές για τη διατροφική επισήμανση στο εμπρόσθιο μέρος της συσκευασίας</w:t>
      </w:r>
      <w:r>
        <w:rPr>
          <w:rStyle w:val="FootnoteReference"/>
          <w:rFonts w:ascii="Times New Roman" w:eastAsia="Calibri" w:hAnsi="Times New Roman" w:cs="Times New Roman"/>
          <w:sz w:val="24"/>
          <w:szCs w:val="24"/>
          <w:specVanish w:val="0"/>
        </w:rPr>
        <w:footnoteReference w:id="2"/>
      </w:r>
      <w:r>
        <w:rPr>
          <w:rFonts w:ascii="Times New Roman" w:hAnsi="Times New Roman"/>
          <w:color w:val="000000" w:themeColor="text1"/>
          <w:szCs w:val="24"/>
        </w:rPr>
        <w:t>. Επιπλέον, η Επιτροπή ανέθεσε στην Ευρωπαϊκή Αρχή για την Ασφάλεια των Τροφίμων να παράσχει επιστημονικές συμβουλές</w:t>
      </w:r>
      <w:r>
        <w:rPr>
          <w:rStyle w:val="FootnoteReference"/>
          <w:rFonts w:ascii="Times New Roman" w:eastAsiaTheme="minorEastAsia" w:hAnsi="Times New Roman" w:cs="Times New Roman"/>
          <w:color w:val="000000" w:themeColor="text1"/>
          <w:kern w:val="24"/>
          <w:sz w:val="24"/>
          <w:szCs w:val="24"/>
          <w:specVanish w:val="0"/>
        </w:rPr>
        <w:footnoteReference w:id="3"/>
      </w:r>
      <w:r>
        <w:rPr>
          <w:rFonts w:ascii="Times New Roman" w:hAnsi="Times New Roman"/>
          <w:color w:val="000000" w:themeColor="text1"/>
          <w:szCs w:val="24"/>
        </w:rPr>
        <w:t xml:space="preserve"> και ζήτησε από το Κοινό Κέντρο Ερευνών να επικαιροποιήσει την προηγούμενη ανασκόπηση της βιβλιογραφίας</w:t>
      </w:r>
      <w:r>
        <w:rPr>
          <w:rStyle w:val="FootnoteReference"/>
          <w:rFonts w:ascii="Times New Roman" w:eastAsiaTheme="minorEastAsia" w:hAnsi="Times New Roman" w:cs="Times New Roman"/>
          <w:color w:val="000000" w:themeColor="text1"/>
          <w:kern w:val="24"/>
          <w:sz w:val="24"/>
          <w:szCs w:val="24"/>
          <w:specVanish w:val="0"/>
        </w:rPr>
        <w:footnoteReference w:id="4"/>
      </w:r>
      <w:r>
        <w:rPr>
          <w:rFonts w:ascii="Times New Roman" w:hAnsi="Times New Roman"/>
          <w:color w:val="000000" w:themeColor="text1"/>
          <w:szCs w:val="24"/>
        </w:rPr>
        <w:t>, λαμβάνοντας υπόψη τις τελευταίες επιστημονικές δημοσιεύσεις και εισηγήσεις.</w:t>
      </w:r>
    </w:p>
    <w:p w14:paraId="63ACA780" w14:textId="77777777" w:rsidR="00865525" w:rsidRPr="00136555" w:rsidRDefault="00865525" w:rsidP="00865525">
      <w:pPr>
        <w:jc w:val="both"/>
        <w:rPr>
          <w:rFonts w:ascii="Times New Roman" w:eastAsia="Calibri" w:hAnsi="Times New Roman" w:cs="Times New Roman"/>
          <w:szCs w:val="24"/>
        </w:rPr>
      </w:pPr>
    </w:p>
    <w:p w14:paraId="0EDFE791" w14:textId="008850E7" w:rsidR="00035060" w:rsidRPr="00136555" w:rsidRDefault="00865525" w:rsidP="0015362C">
      <w:pPr>
        <w:pStyle w:val="NormalWeb"/>
        <w:spacing w:before="0" w:beforeAutospacing="0" w:after="0" w:afterAutospacing="0"/>
        <w:jc w:val="both"/>
      </w:pPr>
      <w:r>
        <w:t>2. Το Nutri-Score είναι ένα εθελοντικό εθνικό σύστημα διατροφικής επισήμανσης στο εμπρόσθιο μέρος της συσκευασίας</w:t>
      </w:r>
      <w:r>
        <w:rPr>
          <w:rStyle w:val="FootnoteReference"/>
          <w:rFonts w:ascii="Times New Roman" w:hAnsi="Times New Roman" w:cs="Times New Roman"/>
          <w:sz w:val="24"/>
          <w:specVanish w:val="0"/>
        </w:rPr>
        <w:footnoteReference w:id="5"/>
      </w:r>
      <w:r>
        <w:t>. Στο πλαίσιο των κοινοποιήσεων εθνικών μέτρων</w:t>
      </w:r>
      <w:r>
        <w:rPr>
          <w:rStyle w:val="FootnoteReference"/>
          <w:rFonts w:ascii="Times New Roman" w:eastAsiaTheme="minorHAnsi" w:hAnsi="Times New Roman" w:cs="Times New Roman"/>
          <w:spacing w:val="-3"/>
          <w:sz w:val="24"/>
          <w:lang w:eastAsia="en-US"/>
          <w:specVanish w:val="0"/>
        </w:rPr>
        <w:footnoteReference w:id="6"/>
      </w:r>
      <w:r>
        <w:t>, η Επιτροπή αξιολόγησε τη συμμόρφωση του Nutri-Score με τη νομοθεσία της ΕΕ.</w:t>
      </w:r>
    </w:p>
    <w:p w14:paraId="089463A5" w14:textId="77777777" w:rsidR="00136555" w:rsidRPr="00136555" w:rsidRDefault="00136555" w:rsidP="0015362C">
      <w:pPr>
        <w:pStyle w:val="NormalWeb"/>
        <w:spacing w:before="0" w:beforeAutospacing="0" w:after="0" w:afterAutospacing="0"/>
        <w:jc w:val="both"/>
      </w:pPr>
    </w:p>
    <w:sectPr w:rsidR="00136555" w:rsidRPr="001365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9505D" w14:textId="77777777" w:rsidR="000023A6" w:rsidRDefault="000023A6" w:rsidP="00865525">
      <w:r>
        <w:separator/>
      </w:r>
    </w:p>
  </w:endnote>
  <w:endnote w:type="continuationSeparator" w:id="0">
    <w:p w14:paraId="20EB9234" w14:textId="77777777" w:rsidR="000023A6" w:rsidRDefault="000023A6" w:rsidP="0086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4E27" w14:textId="77777777" w:rsidR="00B54773" w:rsidRDefault="00B54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E849" w14:textId="77777777" w:rsidR="00B54773" w:rsidRDefault="00B54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5D5E" w14:textId="77777777" w:rsidR="00B54773" w:rsidRDefault="00B54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AD79D" w14:textId="77777777" w:rsidR="000023A6" w:rsidRDefault="000023A6" w:rsidP="00865525">
      <w:r>
        <w:separator/>
      </w:r>
    </w:p>
  </w:footnote>
  <w:footnote w:type="continuationSeparator" w:id="0">
    <w:p w14:paraId="03508D74" w14:textId="77777777" w:rsidR="000023A6" w:rsidRDefault="000023A6" w:rsidP="00865525">
      <w:r>
        <w:continuationSeparator/>
      </w:r>
    </w:p>
  </w:footnote>
  <w:footnote w:id="1">
    <w:p w14:paraId="4768146D" w14:textId="1823D00E" w:rsidR="004335CE" w:rsidRPr="008B5B18" w:rsidRDefault="004335CE" w:rsidP="00136555">
      <w:pPr>
        <w:pStyle w:val="FootnoteText"/>
        <w:rPr>
          <w:rFonts w:ascii="Times New Roman" w:hAnsi="Times New Roman" w:cs="Times New Roman"/>
          <w:lang w:val="en-US"/>
        </w:rPr>
      </w:pPr>
      <w:r>
        <w:rPr>
          <w:rStyle w:val="FootnoteReference"/>
          <w:rFonts w:ascii="Times New Roman" w:hAnsi="Times New Roman" w:cs="Times New Roman"/>
          <w:sz w:val="20"/>
          <w:specVanish w:val="0"/>
        </w:rPr>
        <w:footnoteRef/>
      </w:r>
      <w:r w:rsidRPr="008B5B18">
        <w:rPr>
          <w:rFonts w:ascii="Times New Roman" w:hAnsi="Times New Roman"/>
          <w:lang w:val="en-US"/>
        </w:rPr>
        <w:t xml:space="preserve"> COM(2020) 381 final.</w:t>
      </w:r>
    </w:p>
  </w:footnote>
  <w:footnote w:id="2">
    <w:p w14:paraId="7EE47EAC" w14:textId="73417017" w:rsidR="004335CE" w:rsidRPr="008B5B18" w:rsidRDefault="004335CE" w:rsidP="00136555">
      <w:pPr>
        <w:pStyle w:val="FootnoteText"/>
        <w:rPr>
          <w:rFonts w:ascii="Times New Roman" w:hAnsi="Times New Roman" w:cs="Times New Roman"/>
          <w:lang w:val="en-US"/>
        </w:rPr>
      </w:pPr>
      <w:r>
        <w:rPr>
          <w:rStyle w:val="FootnoteReference"/>
          <w:rFonts w:ascii="Times New Roman" w:hAnsi="Times New Roman" w:cs="Times New Roman"/>
          <w:sz w:val="20"/>
          <w:specVanish w:val="0"/>
        </w:rPr>
        <w:footnoteRef/>
      </w:r>
      <w:r w:rsidRPr="008B5B18">
        <w:rPr>
          <w:rFonts w:ascii="Times New Roman" w:hAnsi="Times New Roman"/>
          <w:lang w:val="en-US"/>
        </w:rPr>
        <w:t xml:space="preserve"> </w:t>
      </w:r>
      <w:hyperlink r:id="rId1" w:history="1">
        <w:r w:rsidRPr="008B5B18">
          <w:rPr>
            <w:rStyle w:val="Hyperlink"/>
            <w:rFonts w:ascii="Times New Roman" w:hAnsi="Times New Roman"/>
            <w:lang w:val="en-US"/>
          </w:rPr>
          <w:t>https://ec.europa.eu/info/law/better-regulation/have-your-say/initiatives/12749-Revision-of-food-information-to-consumers</w:t>
        </w:r>
      </w:hyperlink>
    </w:p>
  </w:footnote>
  <w:footnote w:id="3">
    <w:p w14:paraId="1EDC8DF6" w14:textId="3E945FA5" w:rsidR="004335CE" w:rsidRPr="008B5B18" w:rsidRDefault="004335CE" w:rsidP="00136555">
      <w:pPr>
        <w:pStyle w:val="FootnoteText"/>
        <w:rPr>
          <w:rFonts w:ascii="Times New Roman" w:hAnsi="Times New Roman" w:cs="Times New Roman"/>
          <w:lang w:val="en-US"/>
        </w:rPr>
      </w:pPr>
      <w:r>
        <w:rPr>
          <w:rStyle w:val="FootnoteReference"/>
          <w:rFonts w:ascii="Times New Roman" w:hAnsi="Times New Roman" w:cs="Times New Roman"/>
          <w:sz w:val="20"/>
          <w:specVanish w:val="0"/>
        </w:rPr>
        <w:footnoteRef/>
      </w:r>
      <w:r w:rsidRPr="008B5B18">
        <w:rPr>
          <w:rFonts w:ascii="Times New Roman" w:hAnsi="Times New Roman"/>
          <w:lang w:val="en-US"/>
        </w:rPr>
        <w:t xml:space="preserve"> </w:t>
      </w:r>
      <w:hyperlink r:id="rId2" w:history="1">
        <w:r w:rsidRPr="008B5B18">
          <w:rPr>
            <w:rStyle w:val="Hyperlink"/>
            <w:rFonts w:ascii="Times New Roman" w:hAnsi="Times New Roman"/>
            <w:lang w:val="en-US"/>
          </w:rPr>
          <w:t>https://www.efsa.europa.eu/en/news/efsas-scientific-advice-inform-harmonised-front-pack-labelling-and-restriction</w:t>
        </w:r>
      </w:hyperlink>
    </w:p>
  </w:footnote>
  <w:footnote w:id="4">
    <w:p w14:paraId="0E3EEB6A" w14:textId="19E8A0F6" w:rsidR="004335CE" w:rsidRPr="008B5B18" w:rsidRDefault="004335CE" w:rsidP="00136555">
      <w:pPr>
        <w:pStyle w:val="FootnoteText"/>
        <w:rPr>
          <w:rFonts w:ascii="Times New Roman" w:hAnsi="Times New Roman" w:cs="Times New Roman"/>
          <w:lang w:val="en-US"/>
        </w:rPr>
      </w:pPr>
      <w:r>
        <w:rPr>
          <w:rStyle w:val="FootnoteReference"/>
          <w:rFonts w:ascii="Times New Roman" w:hAnsi="Times New Roman" w:cs="Times New Roman"/>
          <w:sz w:val="20"/>
          <w:specVanish w:val="0"/>
        </w:rPr>
        <w:footnoteRef/>
      </w:r>
      <w:r w:rsidRPr="008B5B18">
        <w:rPr>
          <w:rFonts w:ascii="Times New Roman" w:hAnsi="Times New Roman"/>
          <w:lang w:val="en-US"/>
        </w:rPr>
        <w:t xml:space="preserve"> </w:t>
      </w:r>
      <w:hyperlink r:id="rId3" w:history="1">
        <w:r w:rsidRPr="008B5B18">
          <w:rPr>
            <w:rStyle w:val="Hyperlink"/>
            <w:rFonts w:ascii="Times New Roman" w:hAnsi="Times New Roman"/>
            <w:lang w:val="en-US"/>
          </w:rPr>
          <w:t>https://ec.europa.eu/jrc/en/publication/eur-scientific-and-technical-research-reports/front-pack-nutrition-labelling-schemes-comprehensive-review</w:t>
        </w:r>
      </w:hyperlink>
    </w:p>
  </w:footnote>
  <w:footnote w:id="5">
    <w:p w14:paraId="1ED9FB34" w14:textId="4C8DC910" w:rsidR="00035060" w:rsidRPr="00136555" w:rsidRDefault="00035060" w:rsidP="00136555">
      <w:pPr>
        <w:pStyle w:val="FootnoteText"/>
        <w:rPr>
          <w:rFonts w:ascii="Times New Roman" w:hAnsi="Times New Roman" w:cs="Times New Roman"/>
        </w:rPr>
      </w:pPr>
      <w:r>
        <w:rPr>
          <w:rStyle w:val="FootnoteReference"/>
          <w:rFonts w:ascii="Times New Roman" w:hAnsi="Times New Roman" w:cs="Times New Roman"/>
          <w:sz w:val="20"/>
          <w:specVanish w:val="0"/>
        </w:rPr>
        <w:footnoteRef/>
      </w:r>
      <w:r>
        <w:rPr>
          <w:rFonts w:ascii="Times New Roman" w:hAnsi="Times New Roman"/>
        </w:rPr>
        <w:t xml:space="preserve"> Τα εθνικά κοινοποιημένα σχέδια αναφέρονται στις μεθόδους υπολογισμού της διατροφικής βαθμολογίας των τροφίμων με βάση τη διατροφική τους σύσταση. Ο γενικός αλγόριθμος λαμβάνει υπόψη τόσο αρνητικά στοιχεία (σάκχαρα, κορεσμένα λίπη, αλάτι και θερμίδες) όσο και θετικά στοιχεία (πρωτεΐνες, φυτικές ίνες και περιεκτικότητα σε φρούτα, λαχανικά, όσπρια και ξηρούς καρπούς, καθώς και κραμβέλαιο, καρυδέλαιο και ελαιόλαδο)· τα τρόφιμα διακρίνονται σε πέντε κατηγορίες με βάση αυτή τη βαθμολογία.</w:t>
      </w:r>
    </w:p>
  </w:footnote>
  <w:footnote w:id="6">
    <w:p w14:paraId="2B86CE7C" w14:textId="750ED1D3" w:rsidR="005B190F" w:rsidRPr="00136555" w:rsidRDefault="00035060" w:rsidP="00136555">
      <w:pPr>
        <w:pStyle w:val="FootnoteText"/>
        <w:rPr>
          <w:rFonts w:ascii="Times New Roman" w:hAnsi="Times New Roman" w:cs="Times New Roman"/>
        </w:rPr>
      </w:pPr>
      <w:r>
        <w:rPr>
          <w:rStyle w:val="FootnoteReference"/>
          <w:rFonts w:ascii="Times New Roman" w:hAnsi="Times New Roman" w:cs="Times New Roman"/>
          <w:sz w:val="20"/>
          <w:specVanish w:val="0"/>
        </w:rPr>
        <w:footnoteRef/>
      </w:r>
      <w:r>
        <w:rPr>
          <w:rFonts w:ascii="Times New Roman" w:hAnsi="Times New Roman"/>
        </w:rPr>
        <w:t xml:space="preserve"> Κοινοποιήσεις 2017/0159/F, 2018/0496/B, 2020/0111/D και 2020/0391/L, διαθέσιμες στην ακόλουθη διεύθυνση: </w:t>
      </w:r>
      <w:hyperlink r:id="rId4" w:history="1">
        <w:r>
          <w:rPr>
            <w:rStyle w:val="Hyperlink"/>
            <w:rFonts w:ascii="Times New Roman" w:hAnsi="Times New Roman"/>
          </w:rPr>
          <w:t>https://ec.europa.eu/growth/tools-databases/tris/en/search/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B997E" w14:textId="77777777" w:rsidR="00B54773" w:rsidRDefault="00B54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4AE24" w14:textId="77777777" w:rsidR="00B54773" w:rsidRDefault="00B54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DE85" w14:textId="77777777" w:rsidR="00B54773" w:rsidRDefault="00B54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023A6"/>
    <w:rsid w:val="00035060"/>
    <w:rsid w:val="000923FB"/>
    <w:rsid w:val="000D5139"/>
    <w:rsid w:val="00136555"/>
    <w:rsid w:val="0015362C"/>
    <w:rsid w:val="001944FA"/>
    <w:rsid w:val="00320F83"/>
    <w:rsid w:val="0036165B"/>
    <w:rsid w:val="004335CE"/>
    <w:rsid w:val="004E74FD"/>
    <w:rsid w:val="00572BE6"/>
    <w:rsid w:val="005B190F"/>
    <w:rsid w:val="00630B5D"/>
    <w:rsid w:val="00662776"/>
    <w:rsid w:val="00807AA4"/>
    <w:rsid w:val="00865525"/>
    <w:rsid w:val="00867272"/>
    <w:rsid w:val="008B5B18"/>
    <w:rsid w:val="00A41061"/>
    <w:rsid w:val="00B54773"/>
    <w:rsid w:val="00C541B1"/>
    <w:rsid w:val="00D60BEE"/>
    <w:rsid w:val="00D661F9"/>
    <w:rsid w:val="00FB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C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
    <w:name w:val="Arial10"/>
    <w:qFormat/>
    <w:rsid w:val="000D5139"/>
    <w:rPr>
      <w:rFonts w:ascii="Arial" w:eastAsia="Times New Roman" w:hAnsi="Arial" w:cs="Times New Roman"/>
      <w:sz w:val="20"/>
      <w:szCs w:val="20"/>
      <w:lang w:eastAsia="en-GB"/>
    </w:rPr>
  </w:style>
  <w:style w:type="paragraph" w:customStyle="1" w:styleId="Arial10After10">
    <w:name w:val="Arial10After10"/>
    <w:basedOn w:val="Arial10"/>
    <w:qFormat/>
    <w:rsid w:val="000D5139"/>
    <w:pPr>
      <w:spacing w:after="200"/>
    </w:pPr>
  </w:style>
  <w:style w:type="paragraph" w:customStyle="1" w:styleId="Subject">
    <w:name w:val="Subject"/>
    <w:basedOn w:val="Arial10"/>
    <w:qFormat/>
    <w:rsid w:val="000D5139"/>
    <w:pPr>
      <w:tabs>
        <w:tab w:val="left" w:pos="1134"/>
      </w:tabs>
      <w:spacing w:after="240"/>
      <w:ind w:left="1134" w:hanging="1134"/>
    </w:pPr>
  </w:style>
  <w:style w:type="paragraph" w:customStyle="1" w:styleId="Body">
    <w:name w:val="Body"/>
    <w:qFormat/>
    <w:rsid w:val="000D5139"/>
    <w:pPr>
      <w:tabs>
        <w:tab w:val="left" w:pos="425"/>
        <w:tab w:val="left" w:pos="851"/>
        <w:tab w:val="left" w:pos="1276"/>
      </w:tabs>
      <w:spacing w:after="240"/>
    </w:pPr>
    <w:rPr>
      <w:rFonts w:ascii="Arial" w:eastAsia="Times New Roman" w:hAnsi="Arial" w:cs="Times New Roman"/>
      <w:sz w:val="20"/>
      <w:szCs w:val="20"/>
      <w:lang w:eastAsia="en-GB"/>
    </w:rPr>
  </w:style>
  <w:style w:type="character" w:customStyle="1" w:styleId="Bold">
    <w:name w:val="Bold"/>
    <w:basedOn w:val="DefaultParagraphFont"/>
    <w:uiPriority w:val="1"/>
    <w:qFormat/>
    <w:rsid w:val="000D5139"/>
    <w:rPr>
      <w:rFonts w:ascii="Arial" w:hAnsi="Arial" w:cs="Arial" w:hint="default"/>
      <w:b/>
      <w:bCs w:val="0"/>
      <w:sz w:val="20"/>
    </w:rPr>
  </w:style>
  <w:style w:type="paragraph" w:styleId="FootnoteText">
    <w:name w:val="footnote text"/>
    <w:basedOn w:val="Normal"/>
    <w:link w:val="FootnoteTextChar"/>
    <w:uiPriority w:val="99"/>
    <w:semiHidden/>
    <w:unhideWhenUsed/>
    <w:rsid w:val="00865525"/>
    <w:rPr>
      <w:sz w:val="20"/>
      <w:szCs w:val="20"/>
    </w:rPr>
  </w:style>
  <w:style w:type="character" w:customStyle="1" w:styleId="FootnoteTextChar">
    <w:name w:val="Footnote Text Char"/>
    <w:basedOn w:val="DefaultParagraphFont"/>
    <w:link w:val="FootnoteText"/>
    <w:uiPriority w:val="99"/>
    <w:semiHidden/>
    <w:rsid w:val="00865525"/>
    <w:rPr>
      <w:sz w:val="20"/>
      <w:szCs w:val="20"/>
    </w:rPr>
  </w:style>
  <w:style w:type="character" w:styleId="FootnoteReference">
    <w:name w:val="footnote reference"/>
    <w:aliases w:val="Footnote symbol,Times 10 Point,Exposant 3 Point,Footnote reference number,SUPERS,EN Footnote Reference,note TESI,stylish,number,no...,Footnote,Footnote Reference/,Footnote Reference Superscript,(Footnote Reference),Footnote number,ftr"/>
    <w:link w:val="-FNCharCharChar"/>
    <w:uiPriority w:val="99"/>
    <w:unhideWhenUsed/>
    <w:qFormat/>
    <w:rsid w:val="00865525"/>
    <w:rPr>
      <w:rFonts w:ascii="Arial" w:hAnsi="Arial" w:cs="Arial"/>
      <w:sz w:val="18"/>
      <w:vertAlign w:val="superscript"/>
      <w:specVanish/>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link w:val="FootnoteReference"/>
    <w:uiPriority w:val="99"/>
    <w:rsid w:val="00865525"/>
    <w:pPr>
      <w:spacing w:after="160" w:line="240" w:lineRule="exact"/>
    </w:pPr>
    <w:rPr>
      <w:rFonts w:ascii="Arial" w:hAnsi="Arial" w:cs="Arial"/>
      <w:sz w:val="18"/>
      <w:vertAlign w:val="superscript"/>
      <w:specVanish/>
    </w:rPr>
  </w:style>
  <w:style w:type="character" w:styleId="Hyperlink">
    <w:name w:val="Hyperlink"/>
    <w:basedOn w:val="DefaultParagraphFont"/>
    <w:uiPriority w:val="99"/>
    <w:unhideWhenUsed/>
    <w:rsid w:val="00865525"/>
    <w:rPr>
      <w:color w:val="0000FF" w:themeColor="hyperlink"/>
      <w:u w:val="single"/>
    </w:rPr>
  </w:style>
  <w:style w:type="paragraph" w:styleId="NormalWeb">
    <w:name w:val="Normal (Web)"/>
    <w:basedOn w:val="Normal"/>
    <w:uiPriority w:val="99"/>
    <w:unhideWhenUsed/>
    <w:rsid w:val="00807AA4"/>
    <w:pPr>
      <w:spacing w:before="100" w:beforeAutospacing="1" w:after="100" w:afterAutospacing="1"/>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572BE6"/>
    <w:rPr>
      <w:color w:val="800080" w:themeColor="followedHyperlink"/>
      <w:u w:val="single"/>
    </w:rPr>
  </w:style>
  <w:style w:type="paragraph" w:styleId="Header">
    <w:name w:val="header"/>
    <w:basedOn w:val="Normal"/>
    <w:link w:val="HeaderChar"/>
    <w:uiPriority w:val="99"/>
    <w:unhideWhenUsed/>
    <w:rsid w:val="00B54773"/>
    <w:pPr>
      <w:tabs>
        <w:tab w:val="center" w:pos="4513"/>
        <w:tab w:val="right" w:pos="9026"/>
      </w:tabs>
    </w:pPr>
  </w:style>
  <w:style w:type="character" w:customStyle="1" w:styleId="HeaderChar">
    <w:name w:val="Header Char"/>
    <w:basedOn w:val="DefaultParagraphFont"/>
    <w:link w:val="Header"/>
    <w:uiPriority w:val="99"/>
    <w:rsid w:val="00B54773"/>
    <w:rPr>
      <w:sz w:val="24"/>
    </w:rPr>
  </w:style>
  <w:style w:type="paragraph" w:styleId="Footer">
    <w:name w:val="footer"/>
    <w:basedOn w:val="Normal"/>
    <w:link w:val="FooterChar"/>
    <w:uiPriority w:val="99"/>
    <w:unhideWhenUsed/>
    <w:rsid w:val="00B54773"/>
    <w:pPr>
      <w:tabs>
        <w:tab w:val="center" w:pos="4513"/>
        <w:tab w:val="right" w:pos="9026"/>
      </w:tabs>
    </w:pPr>
  </w:style>
  <w:style w:type="character" w:customStyle="1" w:styleId="FooterChar">
    <w:name w:val="Footer Char"/>
    <w:basedOn w:val="DefaultParagraphFont"/>
    <w:link w:val="Footer"/>
    <w:uiPriority w:val="99"/>
    <w:rsid w:val="00B547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6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notes.xml.rels><?xml version="1.0" encoding="UTF-8" standalone="yes"?>
<Relationships xmlns="http://schemas.openxmlformats.org/package/2006/relationships">
<Relationship Id="rId1" Target="https://ec.europa.eu/info/law/better-regulation/have-your-say/initiatives/12749-Revision-of-food-information-to-consumers" TargetMode="External" Type="http://schemas.openxmlformats.org/officeDocument/2006/relationships/hyperlink"/>
<Relationship Id="rId2" Target="https://www.efsa.europa.eu/en/news/efsas-scientific-advice-inform-harmonised-front-pack-labelling-and-restriction" TargetMode="External" Type="http://schemas.openxmlformats.org/officeDocument/2006/relationships/hyperlink"/>
<Relationship Id="rId3" Target="https://ec.europa.eu/jrc/en/publication/eur-scientific-and-technical-research-reports/front-pack-nutrition-labelling-schemes-comprehensive-review" TargetMode="External" Type="http://schemas.openxmlformats.org/officeDocument/2006/relationships/hyperlink"/>
<Relationship Id="rId4" Target="https://ec.europa.eu/growth/tools-databases/tris/en/search/"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0B3C-4A83-451D-9C63-12DC75F6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1103</Characters>
  <Application>Microsoft Office Word</Application>
  <DocSecurity>0</DocSecurity>
  <Lines>23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2021-03-30T15:22:00Z</dcterms:created>
  <dcterms:modified xsi:type="dcterms:W3CDTF">2021-04-08T15:53:00Z</dcterms:modified>
  <cp:revision>1</cp:revision>
</cp:coreProperties>
</file>