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66490" w14:textId="77777777" w:rsidR="002531DE" w:rsidRPr="002531DE" w:rsidRDefault="002531DE" w:rsidP="002531DE">
      <w:pPr>
        <w:widowControl/>
        <w:tabs>
          <w:tab w:val="clear" w:pos="425"/>
          <w:tab w:val="clear" w:pos="851"/>
          <w:tab w:val="clear" w:pos="1276"/>
        </w:tabs>
        <w:spacing w:after="0"/>
        <w:rPr>
          <w:rFonts w:ascii="Times New Roman" w:hAnsi="Times New Roman"/>
          <w:sz w:val="24"/>
          <w:szCs w:val="22"/>
        </w:rPr>
      </w:pPr>
      <w:r>
        <w:rPr>
          <w:rFonts w:ascii="Times New Roman" w:hAnsi="Times New Roman"/>
          <w:sz w:val="24"/>
          <w:szCs w:val="22"/>
        </w:rPr>
        <w:t>EL</w:t>
      </w:r>
    </w:p>
    <w:p w14:paraId="39ACDD5A" w14:textId="77777777" w:rsidR="002531DE" w:rsidRPr="002531DE" w:rsidRDefault="002531DE" w:rsidP="002531DE">
      <w:pPr>
        <w:widowControl/>
        <w:tabs>
          <w:tab w:val="clear" w:pos="425"/>
          <w:tab w:val="clear" w:pos="851"/>
          <w:tab w:val="clear" w:pos="1276"/>
        </w:tabs>
        <w:spacing w:after="0"/>
        <w:rPr>
          <w:rFonts w:ascii="Times New Roman" w:hAnsi="Times New Roman"/>
          <w:sz w:val="24"/>
          <w:szCs w:val="22"/>
        </w:rPr>
      </w:pPr>
      <w:r>
        <w:rPr>
          <w:rFonts w:ascii="Times New Roman" w:hAnsi="Times New Roman"/>
          <w:sz w:val="24"/>
          <w:szCs w:val="22"/>
        </w:rPr>
        <w:t>E-001607/2021</w:t>
      </w:r>
    </w:p>
    <w:p w14:paraId="37B4950C" w14:textId="77777777" w:rsidR="002531DE" w:rsidRPr="002531DE" w:rsidRDefault="002531DE" w:rsidP="002531DE">
      <w:pPr>
        <w:widowControl/>
        <w:tabs>
          <w:tab w:val="clear" w:pos="425"/>
          <w:tab w:val="clear" w:pos="851"/>
          <w:tab w:val="clear" w:pos="1276"/>
        </w:tabs>
        <w:spacing w:after="0"/>
        <w:rPr>
          <w:rFonts w:ascii="Times New Roman" w:hAnsi="Times New Roman"/>
          <w:sz w:val="24"/>
          <w:szCs w:val="22"/>
        </w:rPr>
      </w:pPr>
      <w:r>
        <w:rPr>
          <w:rFonts w:ascii="Times New Roman" w:hAnsi="Times New Roman"/>
          <w:sz w:val="24"/>
          <w:szCs w:val="22"/>
        </w:rPr>
        <w:t xml:space="preserve">Απάντηση του κ. </w:t>
      </w:r>
      <w:proofErr w:type="spellStart"/>
      <w:r>
        <w:rPr>
          <w:rFonts w:ascii="Times New Roman" w:hAnsi="Times New Roman"/>
          <w:sz w:val="24"/>
          <w:szCs w:val="22"/>
        </w:rPr>
        <w:t>Sinkevičius</w:t>
      </w:r>
      <w:proofErr w:type="spellEnd"/>
    </w:p>
    <w:p w14:paraId="25C6AE8D" w14:textId="77777777" w:rsidR="002531DE" w:rsidRPr="002531DE" w:rsidRDefault="002531DE" w:rsidP="002531DE">
      <w:pPr>
        <w:widowControl/>
        <w:tabs>
          <w:tab w:val="clear" w:pos="425"/>
          <w:tab w:val="clear" w:pos="851"/>
          <w:tab w:val="clear" w:pos="1276"/>
        </w:tabs>
        <w:spacing w:after="0"/>
        <w:rPr>
          <w:rFonts w:ascii="Times New Roman" w:hAnsi="Times New Roman"/>
          <w:sz w:val="24"/>
          <w:szCs w:val="22"/>
        </w:rPr>
      </w:pPr>
      <w:r>
        <w:rPr>
          <w:rFonts w:ascii="Times New Roman" w:hAnsi="Times New Roman"/>
          <w:sz w:val="24"/>
          <w:szCs w:val="22"/>
        </w:rPr>
        <w:t>εξ ονόματος της Ευρωπαϊκής Επιτροπής</w:t>
      </w:r>
    </w:p>
    <w:p w14:paraId="52230BBF" w14:textId="77777777" w:rsidR="002531DE" w:rsidRPr="002531DE" w:rsidRDefault="002531DE" w:rsidP="002531DE">
      <w:pPr>
        <w:widowControl/>
        <w:tabs>
          <w:tab w:val="clear" w:pos="425"/>
          <w:tab w:val="clear" w:pos="851"/>
          <w:tab w:val="clear" w:pos="1276"/>
        </w:tabs>
        <w:spacing w:after="0"/>
        <w:rPr>
          <w:rFonts w:ascii="Times New Roman" w:hAnsi="Times New Roman"/>
          <w:sz w:val="24"/>
          <w:szCs w:val="22"/>
        </w:rPr>
      </w:pPr>
      <w:r>
        <w:rPr>
          <w:rFonts w:ascii="Times New Roman" w:hAnsi="Times New Roman"/>
          <w:sz w:val="24"/>
          <w:szCs w:val="22"/>
        </w:rPr>
        <w:t>(11.6.2021)</w:t>
      </w:r>
      <w:proofErr w:type="spellStart"/>
      <w:proofErr w:type="spellEnd"/>
    </w:p>
    <w:p w14:paraId="258684E4" w14:textId="77777777" w:rsidR="002531DE" w:rsidRDefault="002531DE" w:rsidP="0020332F">
      <w:pPr>
        <w:widowControl/>
        <w:tabs>
          <w:tab w:val="clear" w:pos="425"/>
          <w:tab w:val="clear" w:pos="851"/>
          <w:tab w:val="clear" w:pos="1276"/>
        </w:tabs>
        <w:spacing w:after="0"/>
        <w:rPr>
          <w:rFonts w:ascii="Times New Roman" w:hAnsi="Times New Roman"/>
          <w:sz w:val="24"/>
          <w:szCs w:val="22"/>
          <w:lang w:eastAsia="en-US"/>
        </w:rPr>
      </w:pPr>
    </w:p>
    <w:p w14:paraId="34A4E4E3" w14:textId="77777777" w:rsidR="00627480" w:rsidRPr="002531DE" w:rsidRDefault="00627480" w:rsidP="0020332F">
      <w:pPr>
        <w:widowControl/>
        <w:tabs>
          <w:tab w:val="clear" w:pos="425"/>
          <w:tab w:val="clear" w:pos="851"/>
          <w:tab w:val="clear" w:pos="1276"/>
        </w:tabs>
        <w:spacing w:after="0"/>
        <w:rPr>
          <w:rFonts w:ascii="Times New Roman" w:hAnsi="Times New Roman"/>
          <w:sz w:val="24"/>
          <w:szCs w:val="22"/>
          <w:lang w:eastAsia="en-US"/>
        </w:rPr>
      </w:pPr>
    </w:p>
    <w:p w14:paraId="34EDABF0" w14:textId="77777777" w:rsidR="00870F7A" w:rsidRPr="00280627" w:rsidRDefault="00870F7A" w:rsidP="0020332F">
      <w:pPr>
        <w:pStyle w:val="itemList"/>
        <w:tabs>
          <w:tab w:val="clear" w:pos="425"/>
          <w:tab w:val="clear" w:pos="851"/>
          <w:tab w:val="clear" w:pos="1276"/>
        </w:tabs>
        <w:spacing w:after="0"/>
        <w:ind w:left="0" w:firstLine="0"/>
        <w:jc w:val="both"/>
        <w:rPr>
          <w:rFonts w:ascii="Times New Roman" w:hAnsi="Times New Roman"/>
          <w:sz w:val="24"/>
          <w:szCs w:val="24"/>
        </w:rPr>
      </w:pPr>
      <w:r>
        <w:rPr>
          <w:rFonts w:ascii="Times New Roman" w:hAnsi="Times New Roman"/>
          <w:sz w:val="24"/>
          <w:szCs w:val="24"/>
        </w:rPr>
        <w:t>Η Επιτροπή δεν έχει χαρτογραφήσει τους ευρωπαϊκούς υφάλους, ούτε έχει καταγράψει πρωτοβουλίες που θα μπορούσαν να συμβάλουν στην αποτελεσματικότερη διατήρηση του θαλάσσιου περιβάλλοντος. Ωστόσο, διάφορες πολιτικές και νομοθετικές πράξεις της ΕΕ συμβάλλουν στην επίτευξη αυτού του στόχου, μαζί με πολλά έργα που χρηματοδοτούνται από την ΕΕ</w:t>
      </w:r>
      <w:r>
        <w:rPr>
          <w:rStyle w:val="FootnoteReference"/>
          <w:rFonts w:ascii="Times New Roman" w:hAnsi="Times New Roman" w:cs="Times New Roman"/>
          <w:sz w:val="24"/>
          <w:szCs w:val="24"/>
        </w:rPr>
        <w:footnoteReference w:id="1"/>
      </w:r>
      <w:r>
        <w:rPr>
          <w:rFonts w:ascii="Times New Roman" w:hAnsi="Times New Roman"/>
          <w:sz w:val="24"/>
          <w:szCs w:val="24"/>
        </w:rPr>
        <w:t xml:space="preserve">.  </w:t>
      </w:r>
    </w:p>
    <w:p w14:paraId="1CE9D701" w14:textId="77777777" w:rsidR="0020332F" w:rsidRPr="00280627" w:rsidRDefault="0020332F" w:rsidP="0020332F">
      <w:pPr>
        <w:pStyle w:val="itemList"/>
        <w:tabs>
          <w:tab w:val="clear" w:pos="425"/>
          <w:tab w:val="clear" w:pos="851"/>
          <w:tab w:val="clear" w:pos="1276"/>
        </w:tabs>
        <w:spacing w:after="0"/>
        <w:ind w:left="0" w:firstLine="0"/>
        <w:jc w:val="both"/>
        <w:rPr>
          <w:rFonts w:ascii="Times New Roman" w:hAnsi="Times New Roman"/>
          <w:sz w:val="24"/>
          <w:szCs w:val="24"/>
        </w:rPr>
      </w:pPr>
    </w:p>
    <w:p w14:paraId="07C1F380" w14:textId="74BD49D7" w:rsidR="00212188" w:rsidRPr="00280627" w:rsidRDefault="00795016" w:rsidP="0020332F">
      <w:pPr>
        <w:pStyle w:val="itemList"/>
        <w:spacing w:after="0"/>
        <w:ind w:left="0" w:firstLine="0"/>
        <w:jc w:val="both"/>
        <w:rPr>
          <w:rFonts w:ascii="Times New Roman" w:hAnsi="Times New Roman"/>
          <w:sz w:val="24"/>
          <w:szCs w:val="24"/>
        </w:rPr>
      </w:pPr>
      <w:r>
        <w:rPr>
          <w:rFonts w:ascii="Times New Roman" w:hAnsi="Times New Roman"/>
          <w:sz w:val="24"/>
          <w:szCs w:val="24"/>
        </w:rPr>
        <w:t>Εκτός από τα μέτρα διατήρησης στο πλαίσιο της κοινής αλιευτικής πολιτικής</w:t>
      </w:r>
      <w:r>
        <w:rPr>
          <w:rStyle w:val="FootnoteReference"/>
          <w:rFonts w:ascii="Times New Roman" w:hAnsi="Times New Roman" w:cs="Times New Roman"/>
          <w:sz w:val="24"/>
          <w:szCs w:val="24"/>
          <w:lang w:eastAsia="en-US"/>
        </w:rPr>
        <w:footnoteReference w:id="2"/>
      </w:r>
      <w:r>
        <w:rPr>
          <w:rFonts w:ascii="Times New Roman" w:hAnsi="Times New Roman"/>
          <w:sz w:val="24"/>
          <w:szCs w:val="24"/>
        </w:rPr>
        <w:t>, αξίζει να αναφερθούν η οδηγία-πλαίσιο της ΕΕ για τη θαλάσσια στρατηγική</w:t>
      </w:r>
      <w:r>
        <w:rPr>
          <w:rStyle w:val="FootnoteReference"/>
          <w:rFonts w:ascii="Times New Roman" w:hAnsi="Times New Roman" w:cs="Times New Roman"/>
          <w:sz w:val="24"/>
          <w:szCs w:val="24"/>
          <w:lang w:eastAsia="en-US"/>
        </w:rPr>
        <w:footnoteReference w:id="3"/>
      </w:r>
      <w:r>
        <w:rPr>
          <w:rFonts w:ascii="Times New Roman" w:hAnsi="Times New Roman"/>
          <w:sz w:val="24"/>
          <w:szCs w:val="24"/>
        </w:rPr>
        <w:t xml:space="preserve"> και οι οδηγίες για τα ύδατα</w:t>
      </w:r>
      <w:r>
        <w:rPr>
          <w:rStyle w:val="FootnoteReference"/>
          <w:rFonts w:ascii="Times New Roman" w:hAnsi="Times New Roman" w:cs="Times New Roman"/>
          <w:sz w:val="24"/>
          <w:szCs w:val="24"/>
          <w:lang w:eastAsia="en-US"/>
        </w:rPr>
        <w:footnoteReference w:id="4"/>
      </w:r>
      <w:r>
        <w:rPr>
          <w:rFonts w:ascii="Times New Roman" w:hAnsi="Times New Roman"/>
          <w:sz w:val="24"/>
          <w:szCs w:val="24"/>
        </w:rPr>
        <w:t>, η οδηγία για τους οικοτόπους</w:t>
      </w:r>
      <w:r>
        <w:rPr>
          <w:rStyle w:val="FootnoteReference"/>
          <w:rFonts w:ascii="Times New Roman" w:hAnsi="Times New Roman" w:cs="Times New Roman"/>
          <w:sz w:val="24"/>
          <w:szCs w:val="24"/>
          <w:lang w:eastAsia="en-US"/>
        </w:rPr>
        <w:footnoteReference w:id="5"/>
      </w:r>
      <w:r>
        <w:rPr>
          <w:rFonts w:ascii="Times New Roman" w:hAnsi="Times New Roman"/>
          <w:sz w:val="24"/>
          <w:szCs w:val="24"/>
        </w:rPr>
        <w:t>, η οδηγία για τον θαλάσσιο χωροταξικό σχεδιασμό</w:t>
      </w:r>
      <w:r>
        <w:rPr>
          <w:rStyle w:val="FootnoteReference"/>
          <w:rFonts w:ascii="Times New Roman" w:hAnsi="Times New Roman" w:cs="Times New Roman"/>
          <w:sz w:val="24"/>
          <w:szCs w:val="24"/>
          <w:lang w:eastAsia="en-US"/>
        </w:rPr>
        <w:footnoteReference w:id="6"/>
      </w:r>
      <w:r>
        <w:rPr>
          <w:rFonts w:ascii="Times New Roman" w:hAnsi="Times New Roman"/>
          <w:sz w:val="24"/>
          <w:szCs w:val="24"/>
        </w:rPr>
        <w:t>, καθώς και οι εργασίες των συμβάσεων περιφερειακών θαλασσών</w:t>
      </w:r>
      <w:r>
        <w:rPr>
          <w:rStyle w:val="FootnoteReference"/>
          <w:rFonts w:ascii="Times New Roman" w:hAnsi="Times New Roman" w:cs="Times New Roman"/>
          <w:sz w:val="24"/>
          <w:szCs w:val="24"/>
          <w:lang w:eastAsia="en-US"/>
        </w:rPr>
        <w:footnoteReference w:id="7"/>
      </w:r>
      <w:r>
        <w:rPr>
          <w:rFonts w:ascii="Times New Roman" w:hAnsi="Times New Roman"/>
          <w:sz w:val="24"/>
          <w:szCs w:val="24"/>
        </w:rPr>
        <w:t>. Η στρατηγική της ΕΕ για τη βιοποικιλότητα με ορίζοντα το 2030</w:t>
      </w:r>
      <w:bookmarkStart w:id="0" w:name="_GoBack"/>
      <w:bookmarkEnd w:id="0"/>
      <w:r>
        <w:rPr>
          <w:rStyle w:val="FootnoteReference"/>
          <w:rFonts w:ascii="Times New Roman" w:hAnsi="Times New Roman" w:cs="Times New Roman"/>
          <w:sz w:val="24"/>
          <w:szCs w:val="24"/>
          <w:lang w:eastAsia="en-US"/>
        </w:rPr>
        <w:footnoteReference w:id="8"/>
      </w:r>
      <w:r>
        <w:rPr>
          <w:rFonts w:ascii="Times New Roman" w:hAnsi="Times New Roman"/>
          <w:sz w:val="24"/>
          <w:szCs w:val="24"/>
        </w:rPr>
        <w:t xml:space="preserve"> περιλαμβάνει περαιτέρω μέτρα για την αποκατάσταση και την προστασία ευαίσθητων ειδών και ενδιαιτημάτων, μεταξύ άλλων και στη θάλασσα.</w:t>
      </w:r>
    </w:p>
    <w:p w14:paraId="45B0B26F" w14:textId="77777777" w:rsidR="00212188" w:rsidRPr="00280627" w:rsidRDefault="00212188" w:rsidP="0020332F">
      <w:pPr>
        <w:pStyle w:val="itemList"/>
        <w:spacing w:after="0"/>
        <w:ind w:left="0" w:firstLine="0"/>
        <w:jc w:val="both"/>
        <w:rPr>
          <w:rFonts w:ascii="Times New Roman" w:hAnsi="Times New Roman"/>
          <w:sz w:val="24"/>
          <w:szCs w:val="24"/>
          <w:lang w:eastAsia="en-US"/>
        </w:rPr>
      </w:pPr>
    </w:p>
    <w:p w14:paraId="51E9F969" w14:textId="3B928F2C" w:rsidR="00690B3F" w:rsidRDefault="0018029C" w:rsidP="0020332F">
      <w:pPr>
        <w:pStyle w:val="itemList"/>
        <w:spacing w:after="0"/>
        <w:ind w:left="0" w:firstLine="0"/>
        <w:jc w:val="both"/>
        <w:rPr>
          <w:rFonts w:ascii="Times New Roman" w:hAnsi="Times New Roman"/>
          <w:sz w:val="24"/>
          <w:szCs w:val="24"/>
        </w:rPr>
      </w:pPr>
      <w:r>
        <w:rPr>
          <w:rFonts w:ascii="Times New Roman" w:hAnsi="Times New Roman"/>
          <w:sz w:val="24"/>
          <w:szCs w:val="24"/>
        </w:rPr>
        <w:t xml:space="preserve">Στο πλαίσιο της διεθνούς πρωτοβουλίας κοραλλιογενών υφάλων (ICRI), οι ανταλλαγές απόψεων είναι ανεπίσημες και οι αποφάσεις δεν είναι δεσμευτικές για τα μέλη της. Ως εκ τούτου, η συμμετοχή της ΕΕ δεν έχει δημιουργήσει έννομες υποχρεώσεις για την ΕΕ. Η ιδιότητα του μέλους αποτελεί ευκαιρία για την ανταλλαγή άμεσων πληροφοριών και βέλτιστων πρακτικών με οργανισμούς και χώρες που έχουν τους ίδιους στόχους, καθώς και </w:t>
      </w:r>
      <w:r>
        <w:rPr>
          <w:rFonts w:ascii="Times New Roman" w:hAnsi="Times New Roman"/>
          <w:sz w:val="24"/>
          <w:szCs w:val="24"/>
        </w:rPr>
        <w:lastRenderedPageBreak/>
        <w:t>για συμμετοχή σε υπερσύγχρονες δραστηριότητες που σχετίζονται με τη διαχείριση των κοραλλιογενών υφάλων. Η ICRI είναι επίσης μια διεθνής πλατφόρμα, στην οποία η ΕΕ μπορεί να επιδείξει και να μοιραστεί την μακροχρόνια και εκτενή πείρα της στη βιώσιμη διαχείριση της αλιείας, συμπεριλαμβανομένης της προστασίας των ευπαθών θαλάσσιων οικοσυστημάτων, καθώς και της ισχυρής εσωτερικής περιβαλλοντικής νομοθεσίας της. Η συμμετοχή της ΕΕ συμπληρώνει τις προσπάθειές της να προαχθεί η καλύτερη διακυβέρνηση των ωκεανών, να προωθηθεί το αίτημα για ισχυρότερη πολιτική για την κλιματική αλλαγή και να επιβεβαιωθεί η αποφασιστικότητά της να προστατεύσει και να αποκαταστήσει τη βιοποικιλότητα και να αντιστρέψει την υποβάθμιση των οικοσυστημάτων.</w:t>
      </w:r>
    </w:p>
    <w:p w14:paraId="181205E4" w14:textId="77777777" w:rsidR="0020332F" w:rsidRPr="00D4789B" w:rsidRDefault="0020332F" w:rsidP="0020332F">
      <w:pPr>
        <w:pStyle w:val="itemList"/>
        <w:spacing w:after="0"/>
        <w:ind w:left="0" w:firstLine="0"/>
        <w:jc w:val="both"/>
        <w:rPr>
          <w:rFonts w:ascii="Times New Roman" w:hAnsi="Times New Roman"/>
          <w:sz w:val="24"/>
          <w:szCs w:val="24"/>
        </w:rPr>
      </w:pPr>
    </w:p>
    <w:sectPr w:rsidR="0020332F" w:rsidRPr="00D4789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2000" w:left="1440" w:header="568" w:footer="56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76FD7" w14:textId="77777777" w:rsidR="00570191" w:rsidRDefault="00570191">
      <w:pPr>
        <w:spacing w:after="0"/>
      </w:pPr>
      <w:r>
        <w:separator/>
      </w:r>
    </w:p>
  </w:endnote>
  <w:endnote w:type="continuationSeparator" w:id="0">
    <w:p w14:paraId="77109400" w14:textId="77777777" w:rsidR="00570191" w:rsidRDefault="005701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BE7A0" w14:textId="0CEB0BBD" w:rsidR="00510580" w:rsidRPr="00AF2581" w:rsidRDefault="00510580" w:rsidP="00AF25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302CD" w14:textId="77777777" w:rsidR="00280627" w:rsidRPr="00AF2581" w:rsidRDefault="00280627" w:rsidP="00AF25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7CD7C" w14:textId="3DA8B9C2" w:rsidR="00510580" w:rsidRPr="00AF2581" w:rsidRDefault="00510580" w:rsidP="00AF2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84FE3" w14:textId="77777777" w:rsidR="00570191" w:rsidRDefault="00570191">
      <w:pPr>
        <w:spacing w:after="0"/>
      </w:pPr>
      <w:r>
        <w:separator/>
      </w:r>
    </w:p>
  </w:footnote>
  <w:footnote w:type="continuationSeparator" w:id="0">
    <w:p w14:paraId="03F861D9" w14:textId="77777777" w:rsidR="00570191" w:rsidRDefault="00570191">
      <w:pPr>
        <w:spacing w:after="0"/>
      </w:pPr>
      <w:r>
        <w:continuationSeparator/>
      </w:r>
    </w:p>
  </w:footnote>
  <w:footnote w:id="1">
    <w:p w14:paraId="4F4B147C" w14:textId="77777777" w:rsidR="00870F7A" w:rsidRPr="00280627" w:rsidRDefault="00870F7A" w:rsidP="00E4355F">
      <w:pPr>
        <w:pStyle w:val="FootnoteText"/>
        <w:ind w:left="0" w:firstLine="0"/>
        <w:rPr>
          <w:rFonts w:ascii="Times New Roman" w:hAnsi="Times New Roman"/>
          <w:sz w:val="20"/>
        </w:rPr>
      </w:pPr>
      <w:r>
        <w:rPr>
          <w:rStyle w:val="FootnoteReference"/>
          <w:rFonts w:ascii="Times New Roman" w:hAnsi="Times New Roman" w:cs="Times New Roman"/>
          <w:sz w:val="20"/>
        </w:rPr>
        <w:footnoteRef/>
      </w:r>
      <w:r>
        <w:rPr>
          <w:rFonts w:ascii="Times New Roman" w:hAnsi="Times New Roman"/>
          <w:sz w:val="20"/>
        </w:rPr>
        <w:t xml:space="preserve">Βλέπε, για παράδειγμα, </w:t>
      </w:r>
      <w:hyperlink r:id="rId1" w:history="1">
        <w:r>
          <w:rPr>
            <w:rStyle w:val="Hyperlink"/>
            <w:rFonts w:ascii="Times New Roman" w:hAnsi="Times New Roman"/>
            <w:color w:val="auto"/>
            <w:sz w:val="20"/>
          </w:rPr>
          <w:t>https://ec.europa.eu/environment/marine/publications/index_en.htm</w:t>
        </w:r>
      </w:hyperlink>
    </w:p>
  </w:footnote>
  <w:footnote w:id="2">
    <w:p w14:paraId="0E5DB9DC" w14:textId="3EB30B27" w:rsidR="000E096A" w:rsidRPr="00280627" w:rsidRDefault="000E096A" w:rsidP="00914768">
      <w:pPr>
        <w:pStyle w:val="hd-oj"/>
        <w:spacing w:before="0" w:beforeAutospacing="0" w:after="0" w:afterAutospacing="0"/>
        <w:jc w:val="both"/>
        <w:rPr>
          <w:sz w:val="20"/>
          <w:szCs w:val="20"/>
        </w:rPr>
      </w:pPr>
      <w:r>
        <w:rPr>
          <w:rStyle w:val="FootnoteReference"/>
          <w:rFonts w:ascii="Times New Roman" w:hAnsi="Times New Roman" w:cs="Times New Roman"/>
          <w:sz w:val="20"/>
          <w:szCs w:val="20"/>
        </w:rPr>
        <w:footnoteRef/>
      </w:r>
      <w:r>
        <w:rPr>
          <w:sz w:val="20"/>
          <w:szCs w:val="20"/>
          <w:shd w:val="clear" w:color="auto" w:fill="FFFFFF"/>
        </w:rPr>
        <w:t>Κανονισμός (ΕΕ) αριθ. 1380/2013 του Ευρωπαϊκού Κοινοβουλίου και του Συμβουλίου, της 11ης Δεκεμβρίου 2013, σχετικά με την Κοινή Αλιευτική Πολιτική, ΕΕ </w:t>
      </w:r>
      <w:r>
        <w:rPr>
          <w:sz w:val="20"/>
          <w:szCs w:val="20"/>
        </w:rPr>
        <w:t>L 354 της 28.12.2013, σ. 22.</w:t>
      </w:r>
    </w:p>
  </w:footnote>
  <w:footnote w:id="3">
    <w:p w14:paraId="3CAFDF93" w14:textId="75BFB4AD" w:rsidR="00A43F16" w:rsidRPr="00280627" w:rsidRDefault="00A43F16" w:rsidP="00914768">
      <w:pPr>
        <w:pStyle w:val="FootnoteText"/>
        <w:ind w:left="0" w:firstLine="0"/>
        <w:jc w:val="both"/>
        <w:rPr>
          <w:rFonts w:ascii="Times New Roman" w:hAnsi="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shd w:val="clear" w:color="auto" w:fill="FFFFFF"/>
        </w:rPr>
        <w:t>Οδηγία 2008/56/ΕΚ του Ευρωπαϊκού Κοινοβουλίου και του Συμβουλίου, της 17ης Ιουνίου 2008, περί πλαισίου κοινοτικής δράσης στο πεδίο της πολιτικής για το θαλάσσιο περιβάλλον (οδηγία-πλαίσιο για τη θαλάσσια στρατηγική), ΕΕ L 164 της 25.6.2008, σ. 19.</w:t>
      </w:r>
    </w:p>
  </w:footnote>
  <w:footnote w:id="4">
    <w:p w14:paraId="4220DC26" w14:textId="77777777" w:rsidR="00870F7A" w:rsidRPr="00280627" w:rsidRDefault="00870F7A" w:rsidP="00914768">
      <w:pPr>
        <w:pStyle w:val="FootnoteText"/>
        <w:ind w:left="0" w:firstLine="0"/>
        <w:jc w:val="both"/>
        <w:rPr>
          <w:rFonts w:ascii="Times New Roman" w:hAnsi="Times New Roman"/>
          <w:sz w:val="20"/>
        </w:rPr>
      </w:pPr>
      <w:r>
        <w:rPr>
          <w:rStyle w:val="FootnoteReference"/>
          <w:rFonts w:ascii="Times New Roman" w:hAnsi="Times New Roman" w:cs="Times New Roman"/>
          <w:sz w:val="20"/>
        </w:rPr>
        <w:footnoteRef/>
      </w:r>
      <w:r>
        <w:rPr>
          <w:rFonts w:ascii="Times New Roman" w:hAnsi="Times New Roman"/>
          <w:sz w:val="20"/>
        </w:rPr>
        <w:t>Οδηγία 2000/60/ΕΚ του Ευρωπαϊκού Κοινοβουλίου και του Συμβουλίου, της 23ης Οκτωβρίου 2000, για τη θέσπιση πλαισίου κοινοτικής δράσης στον τομέα της πολιτικής των υδάτων, ΕΕ L 327 της 22.12.2000, σ. 1.</w:t>
      </w:r>
    </w:p>
  </w:footnote>
  <w:footnote w:id="5">
    <w:p w14:paraId="01AA7E2B" w14:textId="5683450F" w:rsidR="00870F7A" w:rsidRPr="00280627" w:rsidRDefault="00870F7A" w:rsidP="00914768">
      <w:pPr>
        <w:pStyle w:val="FootnoteText"/>
        <w:ind w:left="0" w:firstLine="0"/>
        <w:jc w:val="both"/>
        <w:rPr>
          <w:rFonts w:ascii="Times New Roman" w:hAnsi="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Οδηγία 92/43/ΕΟΚ του Συμβουλίου, της 21ης Μαΐου 1992, για τη διατήρηση των φυσικών οικοτόπων καθώς και της άγριας πανίδας και χλωρίδας, ΕΕ L 206 της 22.7.1992, σ. 7.</w:t>
      </w:r>
    </w:p>
  </w:footnote>
  <w:footnote w:id="6">
    <w:p w14:paraId="04B6DB5E" w14:textId="04FD462A" w:rsidR="007A0E93" w:rsidRPr="00280627" w:rsidRDefault="007A0E93" w:rsidP="00537BCB">
      <w:pPr>
        <w:pStyle w:val="NormalWeb"/>
        <w:shd w:val="clear" w:color="auto" w:fill="FFFFFF"/>
        <w:tabs>
          <w:tab w:val="left" w:pos="284"/>
        </w:tabs>
        <w:spacing w:before="0" w:beforeAutospacing="0" w:after="0" w:afterAutospacing="0"/>
        <w:jc w:val="both"/>
        <w:rPr>
          <w:sz w:val="20"/>
          <w:szCs w:val="20"/>
        </w:rPr>
      </w:pPr>
      <w:r>
        <w:rPr>
          <w:rStyle w:val="FootnoteReference"/>
          <w:rFonts w:ascii="Times New Roman" w:hAnsi="Times New Roman" w:cs="Times New Roman"/>
          <w:sz w:val="20"/>
          <w:szCs w:val="20"/>
        </w:rPr>
        <w:footnoteRef/>
      </w:r>
      <w:r>
        <w:rPr>
          <w:sz w:val="20"/>
          <w:szCs w:val="20"/>
        </w:rPr>
        <w:t xml:space="preserve">Οδηγία 2014/89/ΕΕ του Ευρωπαϊκού Κοινοβουλίου και του Συμβουλίου, της 23ης Ιουλίου 2014, περί θεσπίσεως πλαισίου για τον θαλάσσιο χωροταξικό σχεδιασμό, </w:t>
      </w:r>
      <w:r>
        <w:rPr>
          <w:rStyle w:val="Emphasis"/>
          <w:i w:val="0"/>
          <w:sz w:val="20"/>
          <w:szCs w:val="20"/>
        </w:rPr>
        <w:t>ΕΕ L 257 της 28.8.2014, σ. 135.</w:t>
      </w:r>
      <w:r>
        <w:rPr>
          <w:rStyle w:val="Emphasis"/>
          <w:sz w:val="20"/>
          <w:szCs w:val="20"/>
        </w:rPr>
        <w:t xml:space="preserve"> </w:t>
      </w:r>
    </w:p>
  </w:footnote>
  <w:footnote w:id="7">
    <w:p w14:paraId="43B431CF" w14:textId="0ACE1A55" w:rsidR="00537BCB" w:rsidRPr="00280627" w:rsidRDefault="00537BCB" w:rsidP="00537BCB">
      <w:pPr>
        <w:pStyle w:val="NormalWeb"/>
        <w:shd w:val="clear" w:color="auto" w:fill="FFFFFF"/>
        <w:spacing w:before="0" w:beforeAutospacing="0" w:after="0" w:afterAutospacing="0"/>
        <w:jc w:val="both"/>
        <w:rPr>
          <w:sz w:val="20"/>
          <w:szCs w:val="20"/>
        </w:rPr>
      </w:pPr>
      <w:r>
        <w:rPr>
          <w:rStyle w:val="FootnoteReference"/>
          <w:rFonts w:ascii="Times New Roman" w:hAnsi="Times New Roman" w:cs="Times New Roman"/>
          <w:sz w:val="20"/>
          <w:szCs w:val="20"/>
        </w:rPr>
        <w:footnoteRef/>
      </w:r>
      <w:r>
        <w:rPr>
          <w:sz w:val="20"/>
          <w:szCs w:val="20"/>
        </w:rPr>
        <w:t>Οι τέσσερις ευρωπαϊκές συμβάσεις περιφερειακών θαλασσών είναι οι εξής:</w:t>
      </w:r>
    </w:p>
    <w:p w14:paraId="72E7A465" w14:textId="548310EF" w:rsidR="00537BCB" w:rsidRPr="00280627" w:rsidRDefault="00537BCB" w:rsidP="00914768">
      <w:pPr>
        <w:widowControl/>
        <w:numPr>
          <w:ilvl w:val="0"/>
          <w:numId w:val="2"/>
        </w:numPr>
        <w:shd w:val="clear" w:color="auto" w:fill="FFFFFF"/>
        <w:tabs>
          <w:tab w:val="clear" w:pos="425"/>
          <w:tab w:val="clear" w:pos="720"/>
          <w:tab w:val="clear" w:pos="851"/>
          <w:tab w:val="clear" w:pos="1276"/>
          <w:tab w:val="num" w:pos="284"/>
        </w:tabs>
        <w:spacing w:after="0"/>
        <w:ind w:left="0" w:firstLine="0"/>
        <w:rPr>
          <w:rFonts w:ascii="Times New Roman" w:hAnsi="Times New Roman"/>
        </w:rPr>
      </w:pPr>
      <w:r>
        <w:rPr>
          <w:rFonts w:ascii="Times New Roman" w:hAnsi="Times New Roman"/>
        </w:rPr>
        <w:t xml:space="preserve">Σύμβαση για την προστασία του θαλάσσιου περιβάλλοντος του βορειοανατολικού Ατλαντικού του 1992 (σε συνέχεια προηγούμενων εκδόσεων του 1972 και του 1974) — </w:t>
      </w:r>
      <w:hyperlink r:id="rId2" w:history="1">
        <w:r>
          <w:rPr>
            <w:rFonts w:ascii="Times New Roman" w:hAnsi="Times New Roman"/>
            <w:u w:val="single"/>
            <w:bdr w:val="none" w:sz="0" w:space="0" w:color="auto" w:frame="1"/>
          </w:rPr>
          <w:t>Σύμβαση OSPAR</w:t>
        </w:r>
      </w:hyperlink>
      <w:r>
        <w:rPr>
          <w:rFonts w:ascii="Times New Roman" w:hAnsi="Times New Roman"/>
        </w:rPr>
        <w:t xml:space="preserve"> (OSPAR)·</w:t>
      </w:r>
    </w:p>
    <w:p w14:paraId="3B9A9A7F" w14:textId="7EC62E93" w:rsidR="00537BCB" w:rsidRPr="00280627" w:rsidRDefault="00537BCB" w:rsidP="00280627">
      <w:pPr>
        <w:widowControl/>
        <w:numPr>
          <w:ilvl w:val="0"/>
          <w:numId w:val="2"/>
        </w:numPr>
        <w:shd w:val="clear" w:color="auto" w:fill="FFFFFF"/>
        <w:tabs>
          <w:tab w:val="clear" w:pos="425"/>
          <w:tab w:val="clear" w:pos="720"/>
          <w:tab w:val="clear" w:pos="851"/>
          <w:tab w:val="clear" w:pos="1276"/>
          <w:tab w:val="num" w:pos="284"/>
        </w:tabs>
        <w:spacing w:after="0"/>
        <w:ind w:left="0" w:firstLine="0"/>
        <w:jc w:val="both"/>
        <w:rPr>
          <w:rFonts w:ascii="Times New Roman" w:hAnsi="Times New Roman"/>
        </w:rPr>
      </w:pPr>
      <w:r>
        <w:rPr>
          <w:rFonts w:ascii="Times New Roman" w:hAnsi="Times New Roman"/>
        </w:rPr>
        <w:t xml:space="preserve">Σύμβαση για την προστασία του θαλάσσιου περιβάλλοντος στην περιοχή της Βαλτικής του 1992 (σε συνέχεια προηγούμενης έκδοσης του 1974) — </w:t>
      </w:r>
      <w:hyperlink r:id="rId3" w:history="1">
        <w:r>
          <w:rPr>
            <w:rFonts w:ascii="Times New Roman" w:hAnsi="Times New Roman"/>
            <w:u w:val="single"/>
            <w:bdr w:val="none" w:sz="0" w:space="0" w:color="auto" w:frame="1"/>
          </w:rPr>
          <w:t>Σύμβαση του Ελσίνκι</w:t>
        </w:r>
      </w:hyperlink>
      <w:r>
        <w:rPr>
          <w:rFonts w:ascii="Times New Roman" w:hAnsi="Times New Roman"/>
        </w:rPr>
        <w:t xml:space="preserve"> (HELCOM)·</w:t>
      </w:r>
    </w:p>
    <w:p w14:paraId="3525D1E1" w14:textId="03797A73" w:rsidR="00537BCB" w:rsidRPr="00280627" w:rsidRDefault="00537BCB" w:rsidP="00280627">
      <w:pPr>
        <w:widowControl/>
        <w:numPr>
          <w:ilvl w:val="0"/>
          <w:numId w:val="2"/>
        </w:numPr>
        <w:shd w:val="clear" w:color="auto" w:fill="FFFFFF"/>
        <w:tabs>
          <w:tab w:val="clear" w:pos="425"/>
          <w:tab w:val="clear" w:pos="720"/>
          <w:tab w:val="clear" w:pos="851"/>
          <w:tab w:val="clear" w:pos="1276"/>
          <w:tab w:val="num" w:pos="284"/>
        </w:tabs>
        <w:spacing w:after="0"/>
        <w:ind w:left="0" w:firstLine="0"/>
        <w:jc w:val="both"/>
        <w:rPr>
          <w:rFonts w:ascii="Times New Roman" w:hAnsi="Times New Roman"/>
        </w:rPr>
      </w:pPr>
      <w:r>
        <w:rPr>
          <w:rFonts w:ascii="Times New Roman" w:hAnsi="Times New Roman"/>
        </w:rPr>
        <w:t xml:space="preserve">Σύμβαση για την προστασία του θαλάσσιου περιβάλλοντος και των παρακτίων περιοχών της Μεσογείου του 1995 (σε συνέχεια προηγούμενης έκδοσης του 1976) — </w:t>
      </w:r>
      <w:hyperlink r:id="rId4" w:history="1">
        <w:r>
          <w:rPr>
            <w:rFonts w:ascii="Times New Roman" w:hAnsi="Times New Roman"/>
            <w:u w:val="single"/>
            <w:bdr w:val="none" w:sz="0" w:space="0" w:color="auto" w:frame="1"/>
          </w:rPr>
          <w:t>Σύμβαση της Βαρκελώνης</w:t>
        </w:r>
      </w:hyperlink>
      <w:r>
        <w:rPr>
          <w:rFonts w:ascii="Times New Roman" w:hAnsi="Times New Roman"/>
        </w:rPr>
        <w:t xml:space="preserve"> (UNEP-MAP)·</w:t>
      </w:r>
    </w:p>
    <w:p w14:paraId="06F1731E" w14:textId="77777777" w:rsidR="00537BCB" w:rsidRPr="00280627" w:rsidRDefault="00537BCB" w:rsidP="00280627">
      <w:pPr>
        <w:widowControl/>
        <w:numPr>
          <w:ilvl w:val="0"/>
          <w:numId w:val="2"/>
        </w:numPr>
        <w:shd w:val="clear" w:color="auto" w:fill="FFFFFF"/>
        <w:tabs>
          <w:tab w:val="clear" w:pos="425"/>
          <w:tab w:val="clear" w:pos="720"/>
          <w:tab w:val="clear" w:pos="851"/>
          <w:tab w:val="clear" w:pos="1276"/>
          <w:tab w:val="num" w:pos="284"/>
        </w:tabs>
        <w:spacing w:after="0"/>
        <w:ind w:left="0" w:firstLine="0"/>
        <w:jc w:val="both"/>
        <w:rPr>
          <w:rFonts w:ascii="Times New Roman" w:hAnsi="Times New Roman"/>
        </w:rPr>
      </w:pPr>
      <w:r>
        <w:rPr>
          <w:rFonts w:ascii="Times New Roman" w:hAnsi="Times New Roman"/>
        </w:rPr>
        <w:t xml:space="preserve">Σύμβαση για την προστασία του Ευξείνου του 1992 — </w:t>
      </w:r>
      <w:hyperlink r:id="rId5" w:history="1">
        <w:r>
          <w:rPr>
            <w:rFonts w:ascii="Times New Roman" w:hAnsi="Times New Roman"/>
            <w:u w:val="single"/>
            <w:bdr w:val="none" w:sz="0" w:space="0" w:color="auto" w:frame="1"/>
          </w:rPr>
          <w:t>Σύμβαση του Βουκουρεστίου</w:t>
        </w:r>
      </w:hyperlink>
      <w:r>
        <w:rPr>
          <w:rFonts w:ascii="Times New Roman" w:hAnsi="Times New Roman"/>
        </w:rPr>
        <w:t>.</w:t>
      </w:r>
    </w:p>
    <w:p w14:paraId="750F94C5" w14:textId="540AA567" w:rsidR="00537BCB" w:rsidRPr="00280627" w:rsidRDefault="00537BCB" w:rsidP="00280627">
      <w:pPr>
        <w:widowControl/>
        <w:shd w:val="clear" w:color="auto" w:fill="FFFFFF"/>
        <w:tabs>
          <w:tab w:val="clear" w:pos="425"/>
          <w:tab w:val="clear" w:pos="851"/>
          <w:tab w:val="clear" w:pos="1276"/>
          <w:tab w:val="num" w:pos="284"/>
        </w:tabs>
        <w:spacing w:after="0"/>
        <w:jc w:val="both"/>
        <w:rPr>
          <w:rFonts w:ascii="Times New Roman" w:hAnsi="Times New Roman"/>
        </w:rPr>
      </w:pPr>
      <w:r>
        <w:rPr>
          <w:rFonts w:ascii="Times New Roman" w:hAnsi="Times New Roman"/>
        </w:rPr>
        <w:t xml:space="preserve">Η Ευρωπαϊκή Ένωση είναι συμβαλλόμενο μέρος των τριών πρώτων συμβάσεων. </w:t>
      </w:r>
    </w:p>
  </w:footnote>
  <w:footnote w:id="8">
    <w:p w14:paraId="760A4AE9" w14:textId="665B424D" w:rsidR="00A43F16" w:rsidRPr="00280627" w:rsidRDefault="00A43F16" w:rsidP="00914768">
      <w:pPr>
        <w:pStyle w:val="NormalWeb"/>
        <w:shd w:val="clear" w:color="auto" w:fill="FFFFFF"/>
        <w:spacing w:before="0" w:beforeAutospacing="0" w:after="0" w:afterAutospacing="0"/>
        <w:jc w:val="both"/>
        <w:rPr>
          <w:sz w:val="20"/>
          <w:szCs w:val="20"/>
        </w:rPr>
      </w:pPr>
      <w:r>
        <w:rPr>
          <w:rStyle w:val="FootnoteReference"/>
          <w:rFonts w:ascii="Times New Roman" w:hAnsi="Times New Roman" w:cs="Times New Roman"/>
          <w:sz w:val="20"/>
          <w:szCs w:val="20"/>
        </w:rPr>
        <w:footnoteRef/>
      </w:r>
      <w:r>
        <w:rPr>
          <w:sz w:val="20"/>
          <w:szCs w:val="20"/>
        </w:rPr>
        <w:t xml:space="preserve">Ανακοίνωση της Επιτροπής προς το Ευρωπαϊκό Κοινοβούλιο, το Συμβούλιο, την Ευρωπαϊκή Οικονομική και Κοινωνική Επιτροπή και την Επιτροπή των Περιφερειών – Στρατηγική της ΕΕ για τη βιοποικιλότητα με ορίζοντα το 2030 – Επαναφορά της φύσης στη ζωή μας (COM/2020/380 </w:t>
      </w:r>
      <w:proofErr w:type="spellStart"/>
      <w:r>
        <w:rPr>
          <w:sz w:val="20"/>
          <w:szCs w:val="20"/>
        </w:rPr>
        <w:t>final</w:t>
      </w:r>
      <w:proofErr w:type="spellEnd"/>
      <w:r>
        <w:rPr>
          <w:sz w:val="20"/>
          <w:szCs w:val="20"/>
        </w:rPr>
        <w:t>).</w:t>
      </w:r>
    </w:p>
    <w:p w14:paraId="03E8D276" w14:textId="77777777" w:rsidR="00A43F16" w:rsidRPr="00E4355F" w:rsidRDefault="00A43F16" w:rsidP="00E4355F">
      <w:pPr>
        <w:pStyle w:val="FootnoteText"/>
        <w:ind w:left="0" w:firstLine="0"/>
        <w:rPr>
          <w:rFonts w:ascii="Times New Roman" w:hAnsi="Times New Roman"/>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F8CC8" w14:textId="77777777" w:rsidR="00280627" w:rsidRDefault="002806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DEFAE" w14:textId="77777777" w:rsidR="00280627" w:rsidRDefault="002806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52C48" w14:textId="77777777" w:rsidR="00280627" w:rsidRDefault="00280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590"/>
    <w:multiLevelType w:val="hybridMultilevel"/>
    <w:tmpl w:val="9078D54E"/>
    <w:lvl w:ilvl="0" w:tplc="F08CBE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EB7E72"/>
    <w:multiLevelType w:val="multilevel"/>
    <w:tmpl w:val="8126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4097"/>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LW_DocType" w:val="NORMAL"/>
  </w:docVars>
  <w:rsids>
    <w:rsidRoot w:val="00A77B3E"/>
    <w:rsid w:val="000611FC"/>
    <w:rsid w:val="000E096A"/>
    <w:rsid w:val="00167BF0"/>
    <w:rsid w:val="0018029C"/>
    <w:rsid w:val="0020332F"/>
    <w:rsid w:val="00204F80"/>
    <w:rsid w:val="00212188"/>
    <w:rsid w:val="002531DE"/>
    <w:rsid w:val="00280627"/>
    <w:rsid w:val="002C4E2D"/>
    <w:rsid w:val="0044791B"/>
    <w:rsid w:val="004A2A9D"/>
    <w:rsid w:val="004C2FBC"/>
    <w:rsid w:val="00510580"/>
    <w:rsid w:val="00537BCB"/>
    <w:rsid w:val="00570191"/>
    <w:rsid w:val="0058184F"/>
    <w:rsid w:val="0059538D"/>
    <w:rsid w:val="005F2329"/>
    <w:rsid w:val="00627480"/>
    <w:rsid w:val="00690B3F"/>
    <w:rsid w:val="006965D1"/>
    <w:rsid w:val="006A1A50"/>
    <w:rsid w:val="00764DBC"/>
    <w:rsid w:val="00795016"/>
    <w:rsid w:val="007A0E93"/>
    <w:rsid w:val="00870F7A"/>
    <w:rsid w:val="00914768"/>
    <w:rsid w:val="00967A09"/>
    <w:rsid w:val="00972BD5"/>
    <w:rsid w:val="00A43F16"/>
    <w:rsid w:val="00A77B3E"/>
    <w:rsid w:val="00A90C28"/>
    <w:rsid w:val="00AE671F"/>
    <w:rsid w:val="00AF2581"/>
    <w:rsid w:val="00B43C5F"/>
    <w:rsid w:val="00CA2A55"/>
    <w:rsid w:val="00CB23C5"/>
    <w:rsid w:val="00D4789B"/>
    <w:rsid w:val="00E35743"/>
    <w:rsid w:val="00E4355F"/>
    <w:rsid w:val="00EB5477"/>
    <w:rsid w:val="00FA36B4"/>
    <w:rsid w:val="00FA516F"/>
    <w:rsid w:val="00FA7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53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abs>
        <w:tab w:val="left" w:pos="425"/>
        <w:tab w:val="left" w:pos="851"/>
        <w:tab w:val="left" w:pos="1276"/>
      </w:tabs>
      <w:spacing w:after="240"/>
    </w:pPr>
    <w:rPr>
      <w:rFonts w:ascii="Arial" w:hAnsi="Arial"/>
    </w:rPr>
  </w:style>
  <w:style w:type="paragraph" w:styleId="Heading1">
    <w:name w:val="heading 1"/>
    <w:basedOn w:val="Normal"/>
    <w:next w:val="Normal"/>
    <w:link w:val="Heading1Char"/>
    <w:qFormat/>
    <w:rsid w:val="004B331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82D12"/>
    <w:rPr>
      <w:rFonts w:ascii="Arial" w:hAnsi="Arial" w:cs="Arial"/>
      <w:b w:val="0"/>
      <w:i w:val="0"/>
      <w:caps w:val="0"/>
      <w:smallCaps w:val="0"/>
      <w:strike w:val="0"/>
      <w:dstrike w:val="0"/>
      <w:vanish w:val="0"/>
      <w:color w:val="auto"/>
      <w:spacing w:val="0"/>
      <w:w w:val="100"/>
      <w:kern w:val="0"/>
      <w:position w:val="0"/>
      <w:sz w:val="18"/>
      <w:u w:val="none"/>
      <w:effect w:val="none"/>
      <w:vertAlign w:val="superscript"/>
    </w:rPr>
  </w:style>
  <w:style w:type="paragraph" w:styleId="Header">
    <w:name w:val="header"/>
    <w:basedOn w:val="Normal"/>
    <w:pPr>
      <w:tabs>
        <w:tab w:val="center" w:pos="4153"/>
        <w:tab w:val="right" w:pos="8306"/>
      </w:tabs>
    </w:pPr>
  </w:style>
  <w:style w:type="paragraph" w:styleId="Footer">
    <w:name w:val="footer"/>
    <w:basedOn w:val="Normal"/>
    <w:rsid w:val="00F816F6"/>
    <w:pPr>
      <w:tabs>
        <w:tab w:val="clear" w:pos="425"/>
        <w:tab w:val="clear" w:pos="851"/>
        <w:tab w:val="clear" w:pos="1276"/>
        <w:tab w:val="center" w:pos="4536"/>
        <w:tab w:val="right" w:pos="9072"/>
      </w:tabs>
      <w:spacing w:before="240"/>
    </w:pPr>
    <w:rPr>
      <w:snapToGrid w:val="0"/>
      <w:sz w:val="22"/>
    </w:rPr>
  </w:style>
  <w:style w:type="character" w:styleId="PageNumber">
    <w:name w:val="page number"/>
    <w:basedOn w:val="DefaultParagraphFont"/>
  </w:style>
  <w:style w:type="paragraph" w:styleId="FootnoteText">
    <w:name w:val="footnote text"/>
    <w:semiHidden/>
    <w:rsid w:val="003D124A"/>
    <w:pPr>
      <w:tabs>
        <w:tab w:val="left" w:pos="284"/>
      </w:tabs>
      <w:ind w:left="284" w:hanging="284"/>
    </w:pPr>
    <w:rPr>
      <w:rFonts w:ascii="Arial" w:hAnsi="Arial"/>
      <w:sz w:val="18"/>
    </w:rPr>
  </w:style>
  <w:style w:type="paragraph" w:styleId="BalloonText">
    <w:name w:val="Balloon Text"/>
    <w:basedOn w:val="Normal"/>
    <w:semiHidden/>
    <w:rsid w:val="00CD005F"/>
    <w:rPr>
      <w:rFonts w:ascii="Tahoma" w:hAnsi="Tahoma" w:cs="Tahoma"/>
      <w:sz w:val="16"/>
      <w:szCs w:val="16"/>
    </w:rPr>
  </w:style>
  <w:style w:type="character" w:customStyle="1" w:styleId="Bold">
    <w:name w:val="Bold"/>
    <w:basedOn w:val="DefaultParagraphFont"/>
    <w:uiPriority w:val="1"/>
    <w:qFormat/>
    <w:rsid w:val="00344A81"/>
    <w:rPr>
      <w:rFonts w:ascii="Arial" w:hAnsi="Arial"/>
      <w:b/>
      <w:sz w:val="20"/>
    </w:rPr>
  </w:style>
  <w:style w:type="character" w:customStyle="1" w:styleId="Heading1Char">
    <w:name w:val="Heading 1 Char"/>
    <w:basedOn w:val="DefaultParagraphFont"/>
    <w:link w:val="Heading1"/>
    <w:rsid w:val="004B3311"/>
    <w:rPr>
      <w:rFonts w:asciiTheme="majorHAnsi" w:eastAsiaTheme="majorEastAsia" w:hAnsiTheme="majorHAnsi" w:cstheme="majorBidi"/>
      <w:b/>
      <w:bCs/>
      <w:snapToGrid w:val="0"/>
      <w:color w:val="2E74B5" w:themeColor="accent1" w:themeShade="BF"/>
      <w:sz w:val="28"/>
      <w:szCs w:val="28"/>
      <w:lang w:eastAsia="en-US"/>
    </w:rPr>
  </w:style>
  <w:style w:type="paragraph" w:customStyle="1" w:styleId="Arial10">
    <w:name w:val="Arial10"/>
    <w:qFormat/>
    <w:rsid w:val="003A12E2"/>
    <w:rPr>
      <w:rFonts w:ascii="Arial" w:hAnsi="Arial"/>
    </w:rPr>
  </w:style>
  <w:style w:type="character" w:styleId="Hyperlink">
    <w:name w:val="Hyperlink"/>
    <w:basedOn w:val="DefaultParagraphFont"/>
    <w:uiPriority w:val="99"/>
    <w:unhideWhenUsed/>
    <w:rsid w:val="008E6344"/>
    <w:rPr>
      <w:color w:val="0000FF"/>
      <w:u w:val="single"/>
    </w:rPr>
  </w:style>
  <w:style w:type="paragraph" w:customStyle="1" w:styleId="Arial10After10">
    <w:name w:val="Arial10After10"/>
    <w:basedOn w:val="Arial10"/>
    <w:qFormat/>
    <w:rsid w:val="008E6344"/>
    <w:pPr>
      <w:spacing w:after="200"/>
    </w:pPr>
  </w:style>
  <w:style w:type="paragraph" w:customStyle="1" w:styleId="Subject">
    <w:name w:val="Subject"/>
    <w:basedOn w:val="Arial10"/>
    <w:qFormat/>
    <w:rsid w:val="00E275FC"/>
    <w:pPr>
      <w:tabs>
        <w:tab w:val="left" w:pos="1134"/>
      </w:tabs>
      <w:spacing w:after="240"/>
      <w:ind w:left="1134" w:hanging="1134"/>
    </w:pPr>
  </w:style>
  <w:style w:type="paragraph" w:customStyle="1" w:styleId="Body">
    <w:name w:val="Body"/>
    <w:qFormat/>
    <w:rsid w:val="006822FA"/>
    <w:pPr>
      <w:tabs>
        <w:tab w:val="left" w:pos="425"/>
        <w:tab w:val="left" w:pos="851"/>
        <w:tab w:val="left" w:pos="1276"/>
      </w:tabs>
      <w:spacing w:after="240"/>
    </w:pPr>
    <w:rPr>
      <w:rFonts w:ascii="Arial" w:hAnsi="Arial"/>
    </w:rPr>
  </w:style>
  <w:style w:type="paragraph" w:customStyle="1" w:styleId="LeftHanging">
    <w:name w:val="LeftHanging"/>
    <w:qFormat/>
    <w:rsid w:val="00BD0F1F"/>
    <w:pPr>
      <w:spacing w:before="240"/>
      <w:ind w:left="425" w:hanging="425"/>
    </w:pPr>
    <w:rPr>
      <w:rFonts w:ascii="Arial" w:hAnsi="Arial"/>
    </w:rPr>
  </w:style>
  <w:style w:type="paragraph" w:customStyle="1" w:styleId="LeftHangingAfter">
    <w:name w:val="LeftHangingAfter"/>
    <w:basedOn w:val="LeftHanging"/>
    <w:qFormat/>
    <w:rsid w:val="00AB7C55"/>
    <w:pPr>
      <w:spacing w:before="0"/>
    </w:pPr>
  </w:style>
  <w:style w:type="paragraph" w:customStyle="1" w:styleId="itemList">
    <w:name w:val="itemList"/>
    <w:qFormat/>
    <w:rsid w:val="005024D7"/>
    <w:pPr>
      <w:tabs>
        <w:tab w:val="left" w:pos="425"/>
        <w:tab w:val="left" w:pos="851"/>
        <w:tab w:val="left" w:pos="1276"/>
      </w:tabs>
      <w:spacing w:after="240"/>
      <w:ind w:left="425" w:hanging="425"/>
    </w:pPr>
    <w:rPr>
      <w:rFonts w:ascii="Arial" w:hAnsi="Arial"/>
    </w:rPr>
  </w:style>
  <w:style w:type="paragraph" w:customStyle="1" w:styleId="Supporter">
    <w:name w:val="Supporter"/>
    <w:basedOn w:val="Body"/>
    <w:qFormat/>
    <w:rsid w:val="00CD50AF"/>
    <w:pPr>
      <w:spacing w:before="840"/>
    </w:pPr>
  </w:style>
  <w:style w:type="paragraph" w:customStyle="1" w:styleId="Footer2">
    <w:name w:val="Footer2"/>
    <w:basedOn w:val="Normal"/>
    <w:link w:val="Footer2Char"/>
    <w:qFormat/>
    <w:rsid w:val="000B4A67"/>
    <w:pPr>
      <w:tabs>
        <w:tab w:val="clear" w:pos="425"/>
        <w:tab w:val="clear" w:pos="851"/>
        <w:tab w:val="clear" w:pos="1276"/>
        <w:tab w:val="center" w:pos="4536"/>
        <w:tab w:val="right" w:pos="9923"/>
      </w:tabs>
      <w:ind w:left="-851" w:right="-851"/>
    </w:pPr>
    <w:rPr>
      <w:sz w:val="48"/>
    </w:rPr>
  </w:style>
  <w:style w:type="character" w:customStyle="1" w:styleId="Footer2Lang">
    <w:name w:val="Footer2Lang"/>
    <w:uiPriority w:val="1"/>
    <w:qFormat/>
    <w:rsid w:val="000B4A67"/>
    <w:rPr>
      <w:rFonts w:ascii="Arial" w:hAnsi="Arial"/>
      <w:b/>
      <w:sz w:val="48"/>
    </w:rPr>
  </w:style>
  <w:style w:type="character" w:customStyle="1" w:styleId="Footer2Char">
    <w:name w:val="Footer2 Char"/>
    <w:basedOn w:val="DefaultParagraphFont"/>
    <w:link w:val="Footer2"/>
    <w:rsid w:val="000B4A67"/>
    <w:rPr>
      <w:rFonts w:ascii="Arial" w:hAnsi="Arial"/>
      <w:sz w:val="48"/>
    </w:rPr>
  </w:style>
  <w:style w:type="character" w:customStyle="1" w:styleId="Footer2Middle">
    <w:name w:val="Footer2Middle"/>
    <w:uiPriority w:val="1"/>
    <w:qFormat/>
    <w:rsid w:val="000B4A67"/>
    <w:rPr>
      <w:rFonts w:ascii="Arial" w:hAnsi="Arial"/>
      <w:i/>
      <w:color w:val="BFBFBF" w:themeColor="background1" w:themeShade="BF"/>
      <w:sz w:val="22"/>
    </w:rPr>
  </w:style>
  <w:style w:type="paragraph" w:customStyle="1" w:styleId="SessionDocument">
    <w:name w:val="SessionDocument"/>
    <w:qFormat/>
    <w:rsid w:val="00F63011"/>
    <w:pPr>
      <w:jc w:val="center"/>
    </w:pPr>
    <w:rPr>
      <w:rFonts w:ascii="Arial" w:hAnsi="Arial"/>
      <w:i/>
      <w:sz w:val="22"/>
    </w:rPr>
  </w:style>
  <w:style w:type="paragraph" w:customStyle="1" w:styleId="LineBottom">
    <w:name w:val="LineBottom"/>
    <w:qFormat/>
    <w:rsid w:val="00C01FA6"/>
    <w:pPr>
      <w:pBdr>
        <w:bottom w:val="single" w:sz="4" w:space="1" w:color="auto"/>
      </w:pBdr>
      <w:spacing w:after="1080"/>
      <w:jc w:val="center"/>
    </w:pPr>
    <w:rPr>
      <w:rFonts w:ascii="Arial" w:hAnsi="Arial"/>
      <w:sz w:val="16"/>
    </w:rPr>
  </w:style>
  <w:style w:type="paragraph" w:customStyle="1" w:styleId="LineTop">
    <w:name w:val="LineTop"/>
    <w:next w:val="SessionDocument"/>
    <w:qFormat/>
    <w:rsid w:val="00884286"/>
    <w:pPr>
      <w:pBdr>
        <w:top w:val="single" w:sz="4" w:space="1" w:color="auto"/>
      </w:pBdr>
    </w:pPr>
    <w:rPr>
      <w:rFonts w:ascii="Arial" w:hAnsi="Arial"/>
      <w:sz w:val="16"/>
    </w:rPr>
  </w:style>
  <w:style w:type="paragraph" w:customStyle="1" w:styleId="EPLogo">
    <w:name w:val="EPLogo"/>
    <w:basedOn w:val="Normal"/>
    <w:qFormat/>
    <w:rsid w:val="00A05278"/>
    <w:pPr>
      <w:jc w:val="right"/>
    </w:pPr>
  </w:style>
  <w:style w:type="paragraph" w:customStyle="1" w:styleId="EPName">
    <w:name w:val="EPName"/>
    <w:basedOn w:val="Normal"/>
    <w:qFormat/>
    <w:rsid w:val="00475435"/>
    <w:pPr>
      <w:spacing w:before="80" w:after="80"/>
    </w:pPr>
    <w:rPr>
      <w:rFonts w:ascii="Arial Narrow" w:hAnsi="Arial Narrow"/>
      <w:b/>
      <w:color w:val="000000" w:themeColor="text1"/>
      <w:sz w:val="32"/>
    </w:rPr>
  </w:style>
  <w:style w:type="paragraph" w:customStyle="1" w:styleId="EPTerm">
    <w:name w:val="EPTerm"/>
    <w:basedOn w:val="Normal"/>
    <w:next w:val="Normal"/>
    <w:qFormat/>
    <w:rsid w:val="00475435"/>
    <w:pPr>
      <w:spacing w:after="80"/>
    </w:pPr>
  </w:style>
  <w:style w:type="paragraph" w:customStyle="1" w:styleId="Arial10Date">
    <w:name w:val="Arial10Date"/>
    <w:basedOn w:val="Arial10"/>
    <w:qFormat/>
    <w:rsid w:val="00E258AE"/>
    <w:pPr>
      <w:tabs>
        <w:tab w:val="left" w:pos="0"/>
        <w:tab w:val="right" w:pos="9072"/>
      </w:tabs>
      <w:spacing w:after="400"/>
    </w:pPr>
  </w:style>
  <w:style w:type="character" w:customStyle="1" w:styleId="HideTWBExt">
    <w:name w:val="HideTWBExt"/>
    <w:uiPriority w:val="1"/>
    <w:qFormat/>
    <w:rsid w:val="00DC6131"/>
    <w:rPr>
      <w:rFonts w:ascii="Arial" w:hAnsi="Arial"/>
      <w:vanish/>
      <w:color w:val="44546A" w:themeColor="text2"/>
      <w:sz w:val="20"/>
    </w:rPr>
  </w:style>
  <w:style w:type="character" w:customStyle="1" w:styleId="Italic">
    <w:name w:val="Italic"/>
    <w:uiPriority w:val="1"/>
    <w:qFormat/>
    <w:rsid w:val="00644428"/>
    <w:rPr>
      <w:i/>
    </w:rPr>
  </w:style>
  <w:style w:type="character" w:customStyle="1" w:styleId="Sub">
    <w:name w:val="Sub"/>
    <w:uiPriority w:val="1"/>
    <w:qFormat/>
    <w:rsid w:val="00776240"/>
    <w:rPr>
      <w:vertAlign w:val="subscript"/>
    </w:rPr>
  </w:style>
  <w:style w:type="character" w:customStyle="1" w:styleId="Sup">
    <w:name w:val="Sup"/>
    <w:uiPriority w:val="1"/>
    <w:qFormat/>
    <w:rsid w:val="00776240"/>
    <w:rPr>
      <w:vertAlign w:val="superscript"/>
    </w:rPr>
  </w:style>
  <w:style w:type="character" w:customStyle="1" w:styleId="ItalicSub">
    <w:name w:val="ItalicSub"/>
    <w:uiPriority w:val="1"/>
    <w:qFormat/>
    <w:rsid w:val="00776240"/>
    <w:rPr>
      <w:i/>
      <w:vertAlign w:val="subscript"/>
    </w:rPr>
  </w:style>
  <w:style w:type="character" w:customStyle="1" w:styleId="ItalicSup">
    <w:name w:val="ItalicSup"/>
    <w:uiPriority w:val="1"/>
    <w:qFormat/>
    <w:rsid w:val="00776240"/>
    <w:rPr>
      <w:i/>
      <w:vertAlign w:val="superscript"/>
    </w:rPr>
  </w:style>
  <w:style w:type="paragraph" w:customStyle="1" w:styleId="CharCharChar">
    <w:name w:val="Char Char Char"/>
    <w:basedOn w:val="Normal"/>
    <w:next w:val="Normal"/>
    <w:rsid w:val="00972BD5"/>
    <w:pPr>
      <w:widowControl/>
      <w:tabs>
        <w:tab w:val="clear" w:pos="425"/>
        <w:tab w:val="clear" w:pos="851"/>
        <w:tab w:val="clear" w:pos="1276"/>
      </w:tabs>
      <w:spacing w:after="160" w:line="240" w:lineRule="exact"/>
    </w:pPr>
    <w:rPr>
      <w:rFonts w:ascii="Tahoma" w:hAnsi="Tahoma"/>
      <w:sz w:val="24"/>
      <w:lang w:eastAsia="en-US"/>
    </w:rPr>
  </w:style>
  <w:style w:type="character" w:styleId="CommentReference">
    <w:name w:val="annotation reference"/>
    <w:basedOn w:val="DefaultParagraphFont"/>
    <w:semiHidden/>
    <w:unhideWhenUsed/>
    <w:rsid w:val="00870F7A"/>
    <w:rPr>
      <w:sz w:val="16"/>
      <w:szCs w:val="16"/>
    </w:rPr>
  </w:style>
  <w:style w:type="paragraph" w:styleId="CommentText">
    <w:name w:val="annotation text"/>
    <w:basedOn w:val="Normal"/>
    <w:link w:val="CommentTextChar"/>
    <w:semiHidden/>
    <w:unhideWhenUsed/>
    <w:rsid w:val="00870F7A"/>
  </w:style>
  <w:style w:type="character" w:customStyle="1" w:styleId="CommentTextChar">
    <w:name w:val="Comment Text Char"/>
    <w:basedOn w:val="DefaultParagraphFont"/>
    <w:link w:val="CommentText"/>
    <w:semiHidden/>
    <w:rsid w:val="00870F7A"/>
    <w:rPr>
      <w:rFonts w:ascii="Arial" w:hAnsi="Arial"/>
    </w:rPr>
  </w:style>
  <w:style w:type="paragraph" w:customStyle="1" w:styleId="hd-oj">
    <w:name w:val="hd-oj"/>
    <w:basedOn w:val="Normal"/>
    <w:rsid w:val="000E096A"/>
    <w:pPr>
      <w:widowControl/>
      <w:tabs>
        <w:tab w:val="clear" w:pos="425"/>
        <w:tab w:val="clear" w:pos="851"/>
        <w:tab w:val="clear" w:pos="1276"/>
      </w:tabs>
      <w:spacing w:before="100" w:beforeAutospacing="1" w:after="100" w:afterAutospacing="1"/>
    </w:pPr>
    <w:rPr>
      <w:rFonts w:ascii="Times New Roman" w:hAnsi="Times New Roman"/>
      <w:sz w:val="24"/>
      <w:szCs w:val="24"/>
    </w:rPr>
  </w:style>
  <w:style w:type="paragraph" w:styleId="NormalWeb">
    <w:name w:val="Normal (Web)"/>
    <w:basedOn w:val="Normal"/>
    <w:uiPriority w:val="99"/>
    <w:unhideWhenUsed/>
    <w:rsid w:val="00A43F16"/>
    <w:pPr>
      <w:widowControl/>
      <w:tabs>
        <w:tab w:val="clear" w:pos="425"/>
        <w:tab w:val="clear" w:pos="851"/>
        <w:tab w:val="clear" w:pos="1276"/>
      </w:tabs>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A43F16"/>
    <w:rPr>
      <w:i/>
      <w:iCs/>
    </w:rPr>
  </w:style>
  <w:style w:type="paragraph" w:styleId="CommentSubject">
    <w:name w:val="annotation subject"/>
    <w:basedOn w:val="CommentText"/>
    <w:next w:val="CommentText"/>
    <w:link w:val="CommentSubjectChar"/>
    <w:semiHidden/>
    <w:unhideWhenUsed/>
    <w:rsid w:val="00EB5477"/>
    <w:rPr>
      <w:b/>
      <w:bCs/>
    </w:rPr>
  </w:style>
  <w:style w:type="character" w:customStyle="1" w:styleId="CommentSubjectChar">
    <w:name w:val="Comment Subject Char"/>
    <w:basedOn w:val="CommentTextChar"/>
    <w:link w:val="CommentSubject"/>
    <w:semiHidden/>
    <w:rsid w:val="00EB547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605269">
      <w:bodyDiv w:val="1"/>
      <w:marLeft w:val="0"/>
      <w:marRight w:val="0"/>
      <w:marTop w:val="0"/>
      <w:marBottom w:val="0"/>
      <w:divBdr>
        <w:top w:val="none" w:sz="0" w:space="0" w:color="auto"/>
        <w:left w:val="none" w:sz="0" w:space="0" w:color="auto"/>
        <w:bottom w:val="none" w:sz="0" w:space="0" w:color="auto"/>
        <w:right w:val="none" w:sz="0" w:space="0" w:color="auto"/>
      </w:divBdr>
    </w:div>
    <w:div w:id="346369950">
      <w:bodyDiv w:val="1"/>
      <w:marLeft w:val="0"/>
      <w:marRight w:val="0"/>
      <w:marTop w:val="0"/>
      <w:marBottom w:val="0"/>
      <w:divBdr>
        <w:top w:val="none" w:sz="0" w:space="0" w:color="auto"/>
        <w:left w:val="none" w:sz="0" w:space="0" w:color="auto"/>
        <w:bottom w:val="none" w:sz="0" w:space="0" w:color="auto"/>
        <w:right w:val="none" w:sz="0" w:space="0" w:color="auto"/>
      </w:divBdr>
    </w:div>
    <w:div w:id="588732578">
      <w:bodyDiv w:val="1"/>
      <w:marLeft w:val="0"/>
      <w:marRight w:val="0"/>
      <w:marTop w:val="0"/>
      <w:marBottom w:val="0"/>
      <w:divBdr>
        <w:top w:val="none" w:sz="0" w:space="0" w:color="auto"/>
        <w:left w:val="none" w:sz="0" w:space="0" w:color="auto"/>
        <w:bottom w:val="none" w:sz="0" w:space="0" w:color="auto"/>
        <w:right w:val="none" w:sz="0" w:space="0" w:color="auto"/>
      </w:divBdr>
    </w:div>
    <w:div w:id="665134645">
      <w:bodyDiv w:val="1"/>
      <w:marLeft w:val="0"/>
      <w:marRight w:val="0"/>
      <w:marTop w:val="0"/>
      <w:marBottom w:val="0"/>
      <w:divBdr>
        <w:top w:val="none" w:sz="0" w:space="0" w:color="auto"/>
        <w:left w:val="none" w:sz="0" w:space="0" w:color="auto"/>
        <w:bottom w:val="none" w:sz="0" w:space="0" w:color="auto"/>
        <w:right w:val="none" w:sz="0" w:space="0" w:color="auto"/>
      </w:divBdr>
    </w:div>
    <w:div w:id="1575430347">
      <w:bodyDiv w:val="1"/>
      <w:marLeft w:val="0"/>
      <w:marRight w:val="0"/>
      <w:marTop w:val="0"/>
      <w:marBottom w:val="0"/>
      <w:divBdr>
        <w:top w:val="none" w:sz="0" w:space="0" w:color="auto"/>
        <w:left w:val="none" w:sz="0" w:space="0" w:color="auto"/>
        <w:bottom w:val="none" w:sz="0" w:space="0" w:color="auto"/>
        <w:right w:val="none" w:sz="0" w:space="0" w:color="auto"/>
      </w:divBdr>
    </w:div>
    <w:div w:id="1878005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footnotes.xml.rels><?xml version="1.0" encoding="UTF-8" standalone="yes"?>
<Relationships xmlns="http://schemas.openxmlformats.org/package/2006/relationships">
<Relationship Id="rId1" Target="https://ec.europa.eu/environment/marine/publications/index_en.htm" TargetMode="External" Type="http://schemas.openxmlformats.org/officeDocument/2006/relationships/hyperlink"/>
<Relationship Id="rId2" Target="https://ec.europa.eu/environment/marine/international-cooperation/regional-sea-conventions/ospar/index_en.htm" TargetMode="External" Type="http://schemas.openxmlformats.org/officeDocument/2006/relationships/hyperlink"/>
<Relationship Id="rId3" Target="https://ec.europa.eu/environment/marine/international-cooperation/regional-sea-conventions/helcom/index_en.htm" TargetMode="External" Type="http://schemas.openxmlformats.org/officeDocument/2006/relationships/hyperlink"/>
<Relationship Id="rId4" Target="https://ec.europa.eu/environment/marine/international-cooperation/regional-sea-conventions/barcelona-convention/index_en.htm" TargetMode="External" Type="http://schemas.openxmlformats.org/officeDocument/2006/relationships/hyperlink"/>
<Relationship Id="rId5" Target="https://ec.europa.eu/environment/marine/international-cooperation/regional-sea-conventions/bucharest/index_en.ht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A4026-E2E2-44FC-9427-06D441481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1812</Characters>
  <Application>Microsoft Office Word</Application>
  <DocSecurity>0</DocSecurity>
  <Lines>34</Lines>
  <Paragraphs>18</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2021-06-03T13:30:00Z</dcterms:created>
  <dcterms:modified xsi:type="dcterms:W3CDTF">2021-06-09T19:11:00Z</dcterms:modified>
  <cp:revision>1</cp:revision>
</cp:coreProperties>
</file>