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6DFB6" w14:textId="77777777" w:rsidR="00357983" w:rsidRDefault="00357983" w:rsidP="00357983">
      <w:pPr>
        <w:pStyle w:val="itemList"/>
        <w:spacing w:after="0"/>
        <w:ind w:left="0" w:firstLine="0"/>
        <w:jc w:val="both"/>
        <w:rPr>
          <w:rFonts w:ascii="Times New Roman" w:hAnsi="Times New Roman"/>
          <w:sz w:val="24"/>
          <w:szCs w:val="24"/>
        </w:rPr>
      </w:pPr>
      <w:r>
        <w:rPr>
          <w:rFonts w:ascii="Times New Roman" w:hAnsi="Times New Roman"/>
          <w:sz w:val="24"/>
          <w:szCs w:val="24"/>
        </w:rPr>
        <w:t>EL</w:t>
      </w:r>
      <w:r>
        <w:rPr>
          <w:rFonts w:ascii="Times New Roman" w:hAnsi="Times New Roman"/>
          <w:sz w:val="24"/>
          <w:szCs w:val="24"/>
        </w:rPr>
        <w:cr/>
        <w:t>E-002903/2021</w:t>
      </w:r>
      <w:r>
        <w:rPr>
          <w:rFonts w:ascii="Times New Roman" w:hAnsi="Times New Roman"/>
          <w:sz w:val="24"/>
          <w:szCs w:val="24"/>
        </w:rPr>
        <w:cr/>
        <w:t>Απάντηση του κ. Sinkevičius</w:t>
      </w:r>
      <w:r>
        <w:rPr>
          <w:rFonts w:ascii="Times New Roman" w:hAnsi="Times New Roman"/>
          <w:sz w:val="24"/>
          <w:szCs w:val="24"/>
        </w:rPr>
        <w:cr/>
        <w:t>εξ ονόματος της Ευρωπαϊκής Επιτροπής</w:t>
      </w:r>
      <w:r>
        <w:rPr>
          <w:rFonts w:ascii="Times New Roman" w:hAnsi="Times New Roman"/>
          <w:sz w:val="24"/>
          <w:szCs w:val="24"/>
        </w:rPr>
        <w:cr/>
        <w:t>(5.8.2021)</w:t>
      </w:r>
      <w:r>
        <w:rPr>
          <w:rFonts w:ascii="Times New Roman" w:hAnsi="Times New Roman"/>
          <w:sz w:val="24"/>
          <w:szCs w:val="24"/>
        </w:rPr>
        <w:cr/>
      </w:r>
    </w:p>
    <w:p w14:paraId="10312E0D" w14:textId="77777777" w:rsidR="00357983" w:rsidRDefault="00357983" w:rsidP="00357983">
      <w:pPr>
        <w:pStyle w:val="itemList"/>
        <w:spacing w:after="0"/>
        <w:ind w:left="0" w:firstLine="0"/>
        <w:jc w:val="both"/>
        <w:rPr>
          <w:rFonts w:ascii="Times New Roman" w:hAnsi="Times New Roman"/>
          <w:sz w:val="24"/>
          <w:szCs w:val="24"/>
          <w:lang w:eastAsia="en-US"/>
        </w:rPr>
      </w:pPr>
    </w:p>
    <w:p w14:paraId="49C04F9C" w14:textId="69168805" w:rsidR="00357983" w:rsidRPr="009F477F" w:rsidRDefault="00357983" w:rsidP="00357983">
      <w:pPr>
        <w:pStyle w:val="itemList"/>
        <w:tabs>
          <w:tab w:val="clear" w:pos="425"/>
          <w:tab w:val="left" w:pos="0"/>
        </w:tabs>
        <w:spacing w:after="0"/>
        <w:ind w:left="0" w:firstLine="0"/>
        <w:jc w:val="both"/>
        <w:rPr>
          <w:rFonts w:ascii="Times New Roman" w:hAnsi="Times New Roman"/>
          <w:sz w:val="24"/>
          <w:szCs w:val="24"/>
        </w:rPr>
      </w:pPr>
      <w:r>
        <w:rPr>
          <w:rFonts w:ascii="Times New Roman" w:hAnsi="Times New Roman"/>
          <w:sz w:val="24"/>
          <w:szCs w:val="24"/>
        </w:rPr>
        <w:t>Η επαναχρησιμοποίηση των υδάτων συμβάλλει στην επίτευξη των στόχων της Πράσινης Συμφωνίας της ΕΕ</w:t>
      </w:r>
      <w:r>
        <w:rPr>
          <w:rStyle w:val="FootnoteReference"/>
          <w:rFonts w:ascii="Times New Roman" w:hAnsi="Times New Roman" w:cs="Times New Roman"/>
          <w:sz w:val="24"/>
          <w:szCs w:val="24"/>
        </w:rPr>
        <w:footnoteReference w:id="2"/>
      </w:r>
      <w:r>
        <w:rPr>
          <w:rFonts w:ascii="Times New Roman" w:hAnsi="Times New Roman"/>
          <w:sz w:val="24"/>
          <w:szCs w:val="24"/>
        </w:rPr>
        <w:t xml:space="preserve"> και μπορεί να χρηματοδοτηθεί μέσω του πολυετούς δημοσιονομικού πλαισίου 2021-2027</w:t>
      </w:r>
      <w:r>
        <w:rPr>
          <w:rStyle w:val="FootnoteReference"/>
          <w:rFonts w:ascii="Times New Roman" w:hAnsi="Times New Roman" w:cs="Times New Roman"/>
          <w:sz w:val="24"/>
          <w:szCs w:val="24"/>
        </w:rPr>
        <w:footnoteReference w:id="3"/>
      </w:r>
      <w:r>
        <w:rPr>
          <w:rFonts w:ascii="Times New Roman" w:hAnsi="Times New Roman"/>
          <w:sz w:val="24"/>
          <w:szCs w:val="24"/>
        </w:rPr>
        <w:t xml:space="preserve"> και του μέσου </w:t>
      </w:r>
      <w:proofErr w:type="spellStart"/>
      <w:r>
        <w:rPr>
          <w:rFonts w:ascii="Times New Roman" w:hAnsi="Times New Roman"/>
          <w:sz w:val="24"/>
          <w:szCs w:val="24"/>
        </w:rPr>
        <w:t>NextGenerationEU</w:t>
      </w:r>
      <w:proofErr w:type="spellEnd"/>
      <w:r>
        <w:rPr>
          <w:rFonts w:ascii="Times New Roman" w:hAnsi="Times New Roman"/>
          <w:sz w:val="24"/>
          <w:szCs w:val="24"/>
        </w:rPr>
        <w:t>. Ο Μηχανισμός Ανάκαμψης και Ανθεκτικότητας</w:t>
      </w:r>
      <w:r>
        <w:rPr>
          <w:rStyle w:val="FootnoteReference"/>
          <w:rFonts w:ascii="Times New Roman" w:hAnsi="Times New Roman" w:cs="Times New Roman"/>
          <w:sz w:val="24"/>
          <w:szCs w:val="24"/>
        </w:rPr>
        <w:footnoteReference w:id="4"/>
      </w:r>
      <w:r>
        <w:rPr>
          <w:rFonts w:ascii="Times New Roman" w:hAnsi="Times New Roman"/>
          <w:sz w:val="24"/>
          <w:szCs w:val="24"/>
        </w:rPr>
        <w:t xml:space="preserve"> ενθαρρύνει την επαναχρησιμοποίηση των υδάτων στο πλαίσιο της διαχείρισης των υδάτων για τη βιώσιμη χρήση και προστασία των υδάτινων πόρων. Οι υποδομές επαναχρησιμοποίησης των υδάτων μπορούν να χρηματοδοτηθούν μέσω του Ευρωπαϊκού Ταμείου Περιφερειακής Ανάπτυξης</w:t>
      </w:r>
      <w:r>
        <w:rPr>
          <w:rStyle w:val="FootnoteReference"/>
          <w:rFonts w:ascii="Times New Roman" w:hAnsi="Times New Roman" w:cs="Times New Roman"/>
          <w:sz w:val="24"/>
          <w:szCs w:val="24"/>
        </w:rPr>
        <w:footnoteReference w:id="5"/>
      </w:r>
      <w:r>
        <w:rPr>
          <w:rFonts w:ascii="Times New Roman" w:hAnsi="Times New Roman"/>
          <w:sz w:val="24"/>
          <w:szCs w:val="24"/>
        </w:rPr>
        <w:t>, του Ταμείου Συνοχής</w:t>
      </w:r>
      <w:r>
        <w:rPr>
          <w:rStyle w:val="FootnoteReference"/>
          <w:rFonts w:ascii="Times New Roman" w:hAnsi="Times New Roman" w:cs="Times New Roman"/>
          <w:sz w:val="24"/>
          <w:szCs w:val="24"/>
        </w:rPr>
        <w:footnoteReference w:id="6"/>
      </w:r>
      <w:r>
        <w:rPr>
          <w:rFonts w:ascii="Times New Roman" w:hAnsi="Times New Roman"/>
          <w:sz w:val="24"/>
          <w:szCs w:val="24"/>
        </w:rPr>
        <w:t xml:space="preserve"> και του Ευρωπαϊκού Γεωργικού Ταμείου Αγροτικής Ανάπτυξης</w:t>
      </w:r>
      <w:r>
        <w:rPr>
          <w:rStyle w:val="FootnoteReference"/>
          <w:rFonts w:ascii="Times New Roman" w:hAnsi="Times New Roman" w:cs="Times New Roman"/>
          <w:sz w:val="24"/>
          <w:szCs w:val="24"/>
        </w:rPr>
        <w:footnoteReference w:id="7"/>
      </w:r>
      <w:r>
        <w:rPr>
          <w:rFonts w:ascii="Times New Roman" w:hAnsi="Times New Roman"/>
          <w:sz w:val="24"/>
          <w:szCs w:val="24"/>
        </w:rPr>
        <w:t>. Ευκαιρίες προσφέρονται επίσης στο πλαίσιο του προγράμματος της ΕΕ για το περιβάλλον και τη δράση για το κλίμα</w:t>
      </w:r>
      <w:r>
        <w:rPr>
          <w:rStyle w:val="FootnoteReference"/>
          <w:rFonts w:ascii="Times New Roman" w:hAnsi="Times New Roman" w:cs="Times New Roman"/>
          <w:sz w:val="24"/>
          <w:szCs w:val="24"/>
        </w:rPr>
        <w:footnoteReference w:id="8"/>
      </w:r>
      <w:r>
        <w:rPr>
          <w:rFonts w:ascii="Times New Roman" w:hAnsi="Times New Roman"/>
          <w:sz w:val="24"/>
          <w:szCs w:val="24"/>
        </w:rPr>
        <w:t xml:space="preserve"> και του προγράμματος «</w:t>
      </w:r>
      <w:proofErr w:type="spellStart"/>
      <w:r>
        <w:rPr>
          <w:rFonts w:ascii="Times New Roman" w:hAnsi="Times New Roman"/>
          <w:sz w:val="24"/>
          <w:szCs w:val="24"/>
        </w:rPr>
        <w:t>Ορίζων</w:t>
      </w:r>
      <w:proofErr w:type="spellEnd"/>
      <w:r>
        <w:rPr>
          <w:rFonts w:ascii="Times New Roman" w:hAnsi="Times New Roman"/>
          <w:sz w:val="24"/>
          <w:szCs w:val="24"/>
        </w:rPr>
        <w:t xml:space="preserve"> Ευρώπη»</w:t>
      </w:r>
      <w:r>
        <w:rPr>
          <w:rStyle w:val="FootnoteReference"/>
          <w:rFonts w:ascii="Times New Roman" w:hAnsi="Times New Roman" w:cs="Times New Roman"/>
          <w:sz w:val="24"/>
          <w:szCs w:val="24"/>
        </w:rPr>
        <w:footnoteReference w:id="9"/>
      </w:r>
      <w:r>
        <w:rPr>
          <w:rFonts w:ascii="Times New Roman" w:hAnsi="Times New Roman"/>
          <w:sz w:val="24"/>
          <w:szCs w:val="24"/>
        </w:rPr>
        <w:t>. Στο πλαίσιο του προγράμματος «</w:t>
      </w:r>
      <w:proofErr w:type="spellStart"/>
      <w:r>
        <w:rPr>
          <w:rFonts w:ascii="Times New Roman" w:hAnsi="Times New Roman"/>
          <w:sz w:val="24"/>
          <w:szCs w:val="24"/>
        </w:rPr>
        <w:t>Ορίζων</w:t>
      </w:r>
      <w:proofErr w:type="spellEnd"/>
      <w:r>
        <w:rPr>
          <w:rFonts w:ascii="Times New Roman" w:hAnsi="Times New Roman"/>
          <w:sz w:val="24"/>
          <w:szCs w:val="24"/>
        </w:rPr>
        <w:t xml:space="preserve"> 2020»</w:t>
      </w:r>
      <w:r>
        <w:rPr>
          <w:rStyle w:val="FootnoteReference"/>
          <w:rFonts w:ascii="Times New Roman" w:hAnsi="Times New Roman" w:cs="Times New Roman"/>
          <w:sz w:val="24"/>
          <w:szCs w:val="24"/>
        </w:rPr>
        <w:footnoteReference w:id="10"/>
      </w:r>
      <w:r>
        <w:rPr>
          <w:rFonts w:ascii="Times New Roman" w:hAnsi="Times New Roman"/>
          <w:sz w:val="24"/>
          <w:szCs w:val="24"/>
        </w:rPr>
        <w:t>, δραστηριότητες όπως η εταιρική σχέση στον τομέα της έρευνας και της καινοτομίας στην περιοχή της Μεσογείου</w:t>
      </w:r>
      <w:r>
        <w:rPr>
          <w:rStyle w:val="FootnoteReference"/>
          <w:rFonts w:ascii="Times New Roman" w:hAnsi="Times New Roman" w:cs="Times New Roman"/>
          <w:sz w:val="24"/>
          <w:szCs w:val="24"/>
        </w:rPr>
        <w:footnoteReference w:id="11"/>
      </w:r>
      <w:r>
        <w:rPr>
          <w:rFonts w:ascii="Times New Roman" w:hAnsi="Times New Roman"/>
          <w:sz w:val="24"/>
          <w:szCs w:val="24"/>
        </w:rPr>
        <w:t xml:space="preserve"> και η πρωτοβουλία για τις κυκλικές πόλεις και περιφέρειες</w:t>
      </w:r>
      <w:r>
        <w:rPr>
          <w:rStyle w:val="FootnoteReference"/>
          <w:rFonts w:ascii="Times New Roman" w:hAnsi="Times New Roman" w:cs="Times New Roman"/>
          <w:sz w:val="24"/>
          <w:szCs w:val="24"/>
        </w:rPr>
        <w:footnoteReference w:id="12"/>
      </w:r>
      <w:r>
        <w:rPr>
          <w:rFonts w:ascii="Times New Roman" w:hAnsi="Times New Roman"/>
          <w:sz w:val="24"/>
          <w:szCs w:val="24"/>
        </w:rPr>
        <w:t xml:space="preserve"> προσφέρουν ευκαιρίες για την ενθάρρυνση αφενός της επαναχρησιμοποίησης των υδάτων και αφετέρου των βιώσιμων </w:t>
      </w:r>
      <w:proofErr w:type="spellStart"/>
      <w:r>
        <w:rPr>
          <w:rFonts w:ascii="Times New Roman" w:hAnsi="Times New Roman"/>
          <w:sz w:val="24"/>
          <w:szCs w:val="24"/>
        </w:rPr>
        <w:t>αγροδιατροφικών</w:t>
      </w:r>
      <w:proofErr w:type="spellEnd"/>
      <w:r>
        <w:rPr>
          <w:rFonts w:ascii="Times New Roman" w:hAnsi="Times New Roman"/>
          <w:sz w:val="24"/>
          <w:szCs w:val="24"/>
        </w:rPr>
        <w:t xml:space="preserve"> συστημάτων. </w:t>
      </w:r>
    </w:p>
    <w:p w14:paraId="71BAF7EC" w14:textId="77777777" w:rsidR="00357983" w:rsidRPr="009F477F" w:rsidRDefault="00357983" w:rsidP="00357983">
      <w:pPr>
        <w:pStyle w:val="itemList"/>
        <w:tabs>
          <w:tab w:val="clear" w:pos="425"/>
          <w:tab w:val="left" w:pos="0"/>
        </w:tabs>
        <w:spacing w:after="0"/>
        <w:ind w:left="0" w:firstLine="0"/>
        <w:jc w:val="both"/>
        <w:rPr>
          <w:rFonts w:ascii="Times New Roman" w:hAnsi="Times New Roman"/>
          <w:sz w:val="24"/>
          <w:szCs w:val="24"/>
        </w:rPr>
      </w:pPr>
    </w:p>
    <w:p w14:paraId="2CC61A49" w14:textId="77777777" w:rsidR="00357983" w:rsidRPr="009F477F" w:rsidRDefault="00357983" w:rsidP="00357983">
      <w:pPr>
        <w:pStyle w:val="itemList"/>
        <w:tabs>
          <w:tab w:val="clear" w:pos="425"/>
          <w:tab w:val="left" w:pos="0"/>
        </w:tabs>
        <w:spacing w:after="0"/>
        <w:ind w:left="0" w:firstLine="0"/>
        <w:jc w:val="both"/>
        <w:rPr>
          <w:rFonts w:ascii="Times New Roman" w:hAnsi="Times New Roman"/>
          <w:sz w:val="24"/>
          <w:szCs w:val="24"/>
        </w:rPr>
      </w:pPr>
      <w:r>
        <w:rPr>
          <w:rFonts w:ascii="Times New Roman" w:hAnsi="Times New Roman"/>
          <w:sz w:val="24"/>
          <w:szCs w:val="24"/>
        </w:rPr>
        <w:t>Ο κανονισμός για την επαναχρησιμοποίηση των υδάτων</w:t>
      </w:r>
      <w:r>
        <w:rPr>
          <w:rStyle w:val="FootnoteReference"/>
          <w:rFonts w:ascii="Times New Roman" w:hAnsi="Times New Roman" w:cs="Times New Roman"/>
          <w:sz w:val="24"/>
          <w:szCs w:val="24"/>
        </w:rPr>
        <w:footnoteReference w:id="13"/>
      </w:r>
      <w:r>
        <w:rPr>
          <w:rFonts w:ascii="Times New Roman" w:hAnsi="Times New Roman"/>
          <w:sz w:val="24"/>
          <w:szCs w:val="24"/>
        </w:rPr>
        <w:t xml:space="preserve"> δεσμεύει την Επιτροπή να αξιολογήσει τη δυνατότητα επέκτασης του πεδίου εφαρμογής σε χρήσεις άλλες εκτός της γεωργικής άρδευσης στο πλαίσιο της αναθεώρησής του το 2028. Εντωμεταξύ, η Επιτροπή διερευνά τρόπους ενθάρρυνσης της επαναχρησιμοποίησης των βιομηχανικών υδάτων, εξετάζοντας επιλογές μέσω της αναθεώρησης της οδηγίας για τις βιομηχανικές εκπομπές</w:t>
      </w:r>
      <w:r>
        <w:rPr>
          <w:rStyle w:val="FootnoteReference"/>
          <w:rFonts w:ascii="Times New Roman" w:hAnsi="Times New Roman" w:cs="Times New Roman"/>
          <w:sz w:val="24"/>
          <w:szCs w:val="24"/>
        </w:rPr>
        <w:footnoteReference w:id="14"/>
      </w:r>
      <w:r>
        <w:rPr>
          <w:rFonts w:ascii="Times New Roman" w:hAnsi="Times New Roman"/>
          <w:sz w:val="24"/>
          <w:szCs w:val="24"/>
        </w:rPr>
        <w:t xml:space="preserve">. Η Επιτροπή επιδιώκει επίσης να ενσωματώσει την επαναχρησιμοποίηση των υδάτων στην </w:t>
      </w:r>
      <w:r>
        <w:rPr>
          <w:rFonts w:ascii="Times New Roman" w:hAnsi="Times New Roman"/>
          <w:sz w:val="24"/>
          <w:szCs w:val="24"/>
        </w:rPr>
        <w:lastRenderedPageBreak/>
        <w:t>εφαρμογή της στρατηγικής της ΕΕ για την προσαρμογή στην κλιματική αλλαγή</w:t>
      </w:r>
      <w:r>
        <w:rPr>
          <w:rStyle w:val="FootnoteReference"/>
          <w:rFonts w:ascii="Times New Roman" w:hAnsi="Times New Roman" w:cs="Times New Roman"/>
          <w:sz w:val="24"/>
          <w:szCs w:val="24"/>
        </w:rPr>
        <w:footnoteReference w:id="15"/>
      </w:r>
      <w:r>
        <w:rPr>
          <w:rFonts w:ascii="Times New Roman" w:hAnsi="Times New Roman"/>
          <w:sz w:val="24"/>
          <w:szCs w:val="24"/>
        </w:rPr>
        <w:t xml:space="preserve"> και του κύματος ανακαινίσεων</w:t>
      </w:r>
      <w:r>
        <w:rPr>
          <w:rStyle w:val="FootnoteReference"/>
          <w:rFonts w:ascii="Times New Roman" w:hAnsi="Times New Roman" w:cs="Times New Roman"/>
          <w:sz w:val="24"/>
          <w:szCs w:val="24"/>
        </w:rPr>
        <w:footnoteReference w:id="16"/>
      </w:r>
      <w:r>
        <w:rPr>
          <w:rFonts w:ascii="Times New Roman" w:hAnsi="Times New Roman"/>
          <w:sz w:val="24"/>
          <w:szCs w:val="24"/>
        </w:rPr>
        <w:t xml:space="preserve">. </w:t>
      </w:r>
    </w:p>
    <w:p w14:paraId="46EB3E9B" w14:textId="77777777" w:rsidR="00357983" w:rsidRPr="009F477F" w:rsidRDefault="00357983" w:rsidP="00357983">
      <w:pPr>
        <w:pStyle w:val="itemList"/>
        <w:tabs>
          <w:tab w:val="clear" w:pos="425"/>
          <w:tab w:val="left" w:pos="0"/>
        </w:tabs>
        <w:spacing w:after="0"/>
        <w:ind w:left="0" w:firstLine="0"/>
        <w:jc w:val="both"/>
        <w:rPr>
          <w:rFonts w:ascii="Times New Roman" w:hAnsi="Times New Roman"/>
          <w:sz w:val="24"/>
          <w:szCs w:val="24"/>
        </w:rPr>
      </w:pPr>
    </w:p>
    <w:p w14:paraId="49CDA337" w14:textId="04CC74CC" w:rsidR="00357983" w:rsidRDefault="00357983" w:rsidP="00357983">
      <w:pPr>
        <w:pStyle w:val="itemList"/>
        <w:tabs>
          <w:tab w:val="clear" w:pos="425"/>
          <w:tab w:val="clear" w:pos="851"/>
          <w:tab w:val="clear" w:pos="1276"/>
          <w:tab w:val="left" w:pos="0"/>
        </w:tabs>
        <w:spacing w:after="0"/>
        <w:ind w:left="0" w:firstLine="0"/>
        <w:jc w:val="both"/>
        <w:rPr>
          <w:rFonts w:ascii="Times New Roman" w:hAnsi="Times New Roman"/>
          <w:sz w:val="24"/>
          <w:szCs w:val="24"/>
        </w:rPr>
      </w:pPr>
      <w:r>
        <w:rPr>
          <w:rFonts w:ascii="Times New Roman" w:hAnsi="Times New Roman"/>
          <w:sz w:val="24"/>
          <w:szCs w:val="24"/>
        </w:rPr>
        <w:t>Τακτικές ανταλλαγές σε επίπεδο εμπειρογνωμόνων σχετικά με την επαναχρησιμοποίηση των υδάτων πραγματοποιούνται στο πλαίσιο της κοινής στρατηγικής εφαρμογής</w:t>
      </w:r>
      <w:r>
        <w:rPr>
          <w:rStyle w:val="FootnoteReference"/>
          <w:rFonts w:ascii="Times New Roman" w:hAnsi="Times New Roman" w:cs="Times New Roman"/>
          <w:sz w:val="24"/>
          <w:szCs w:val="24"/>
        </w:rPr>
        <w:footnoteReference w:id="17"/>
      </w:r>
      <w:r>
        <w:rPr>
          <w:rFonts w:ascii="Times New Roman" w:hAnsi="Times New Roman"/>
          <w:sz w:val="24"/>
          <w:szCs w:val="24"/>
        </w:rPr>
        <w:t>, στην οποία συμμετέχουν σχετικές οργανώσεις ενδιαφερομένων μερών</w:t>
      </w:r>
      <w:r>
        <w:rPr>
          <w:rStyle w:val="FootnoteReference"/>
          <w:rFonts w:ascii="Times New Roman" w:hAnsi="Times New Roman" w:cs="Times New Roman"/>
          <w:sz w:val="24"/>
          <w:szCs w:val="24"/>
        </w:rPr>
        <w:footnoteReference w:id="18"/>
      </w:r>
      <w:r>
        <w:rPr>
          <w:rFonts w:ascii="Times New Roman" w:hAnsi="Times New Roman"/>
          <w:sz w:val="24"/>
          <w:szCs w:val="24"/>
        </w:rPr>
        <w:t>. Υπάρχουν και άλλα δίκτυα, στα οποία συμμετέχουν ενδιαφερόμενοι από διάφορους τομείς</w:t>
      </w:r>
      <w:r>
        <w:rPr>
          <w:rStyle w:val="FootnoteReference"/>
          <w:rFonts w:ascii="Times New Roman" w:hAnsi="Times New Roman" w:cs="Times New Roman"/>
          <w:sz w:val="24"/>
          <w:szCs w:val="24"/>
        </w:rPr>
        <w:footnoteReference w:id="19"/>
      </w:r>
      <w:r>
        <w:rPr>
          <w:rFonts w:ascii="Times New Roman" w:hAnsi="Times New Roman"/>
          <w:sz w:val="24"/>
          <w:szCs w:val="24"/>
        </w:rPr>
        <w:t>. Επιπλέον, η χρηματοδοτούμενη από την ΕΕ έρευνα προωθεί τη συμμετοχή των ενδιαφερόμενων μερών και, ως εκ τούτου, τις ευκαιρίες πρόσβασης σε πληροφορίες σχετικά με καινοτόμες λύσεις.</w:t>
      </w:r>
    </w:p>
    <w:p w14:paraId="32A979C5" w14:textId="77777777" w:rsidR="009F1A87" w:rsidRPr="009F477F" w:rsidRDefault="009F1A87" w:rsidP="00357983">
      <w:pPr>
        <w:pStyle w:val="itemList"/>
        <w:tabs>
          <w:tab w:val="clear" w:pos="425"/>
          <w:tab w:val="clear" w:pos="851"/>
          <w:tab w:val="clear" w:pos="1276"/>
          <w:tab w:val="left" w:pos="0"/>
        </w:tabs>
        <w:spacing w:after="0"/>
        <w:ind w:left="0" w:firstLine="0"/>
        <w:jc w:val="both"/>
        <w:rPr>
          <w:rFonts w:ascii="Times New Roman" w:hAnsi="Times New Roman"/>
          <w:sz w:val="24"/>
          <w:szCs w:val="24"/>
        </w:rPr>
      </w:pPr>
    </w:p>
    <w:sectPr w:rsidR="009F1A87" w:rsidRPr="009F477F" w:rsidSect="006E7D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276"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13235" w14:textId="77777777" w:rsidR="001E11B8" w:rsidRDefault="001E11B8">
      <w:pPr>
        <w:spacing w:after="0"/>
      </w:pPr>
      <w:r>
        <w:separator/>
      </w:r>
    </w:p>
  </w:endnote>
  <w:endnote w:type="continuationSeparator" w:id="0">
    <w:p w14:paraId="548D5790" w14:textId="77777777" w:rsidR="001E11B8" w:rsidRDefault="001E11B8">
      <w:pPr>
        <w:spacing w:after="0"/>
      </w:pPr>
      <w:r>
        <w:continuationSeparator/>
      </w:r>
    </w:p>
  </w:endnote>
  <w:endnote w:type="continuationNotice" w:id="1">
    <w:p w14:paraId="399B3DA4" w14:textId="77777777" w:rsidR="001E11B8" w:rsidRDefault="001E11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96F9E" w14:textId="3E94AF51" w:rsidR="00B50961" w:rsidRPr="009F477F" w:rsidRDefault="00B50961" w:rsidP="009F4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CEA2" w14:textId="0327AC68" w:rsidR="00B50961" w:rsidRPr="009F477F" w:rsidRDefault="00B50961" w:rsidP="009F4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9638C" w14:textId="240DC03D" w:rsidR="00B50961" w:rsidRPr="009F477F" w:rsidRDefault="00B50961" w:rsidP="009F4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C8698" w14:textId="77777777" w:rsidR="001E11B8" w:rsidRDefault="001E11B8">
      <w:pPr>
        <w:spacing w:after="0"/>
      </w:pPr>
      <w:r>
        <w:separator/>
      </w:r>
    </w:p>
  </w:footnote>
  <w:footnote w:type="continuationSeparator" w:id="0">
    <w:p w14:paraId="3EDD0FD1" w14:textId="77777777" w:rsidR="001E11B8" w:rsidRDefault="001E11B8">
      <w:pPr>
        <w:spacing w:after="0"/>
      </w:pPr>
      <w:r>
        <w:continuationSeparator/>
      </w:r>
    </w:p>
  </w:footnote>
  <w:footnote w:type="continuationNotice" w:id="1">
    <w:p w14:paraId="49F0AEBA" w14:textId="77777777" w:rsidR="001E11B8" w:rsidRDefault="001E11B8">
      <w:pPr>
        <w:spacing w:after="0"/>
      </w:pPr>
    </w:p>
  </w:footnote>
  <w:footnote w:id="2">
    <w:p w14:paraId="62CA3170" w14:textId="6B6D3631" w:rsidR="00357983" w:rsidRPr="00BF564A" w:rsidRDefault="00357983" w:rsidP="009F477F">
      <w:pPr>
        <w:pStyle w:val="FootnoteText"/>
        <w:ind w:left="0" w:firstLine="0"/>
        <w:rPr>
          <w:rFonts w:ascii="Times New Roman" w:hAnsi="Times New Roman"/>
          <w:sz w:val="20"/>
          <w:lang w:val="en-US"/>
        </w:rPr>
      </w:pPr>
      <w:r>
        <w:rPr>
          <w:rStyle w:val="FootnoteReference"/>
          <w:rFonts w:ascii="Times New Roman" w:hAnsi="Times New Roman" w:cs="Times New Roman"/>
          <w:sz w:val="20"/>
        </w:rPr>
        <w:footnoteRef/>
      </w:r>
      <w:r>
        <w:rPr>
          <w:rFonts w:ascii="Times New Roman" w:hAnsi="Times New Roman"/>
          <w:sz w:val="20"/>
        </w:rPr>
        <w:t xml:space="preserve"> </w:t>
      </w:r>
      <w:r w:rsidR="00BF564A" w:rsidRPr="003A060E">
        <w:rPr>
          <w:rFonts w:ascii="Times New Roman" w:hAnsi="Times New Roman"/>
          <w:sz w:val="20"/>
        </w:rPr>
        <w:t>https://ec.europa.eu/info/strategy/priorities-2019-2024/european-green-deal_el</w:t>
      </w:r>
      <w:r w:rsidR="00BF564A">
        <w:rPr>
          <w:rFonts w:ascii="Times New Roman" w:hAnsi="Times New Roman"/>
          <w:sz w:val="20"/>
          <w:lang w:val="en-US"/>
        </w:rPr>
        <w:t xml:space="preserve"> </w:t>
      </w:r>
    </w:p>
  </w:footnote>
  <w:footnote w:id="3">
    <w:p w14:paraId="01D77DD8" w14:textId="3586AB15" w:rsidR="00357983" w:rsidRPr="00BF564A" w:rsidRDefault="00357983" w:rsidP="009F477F">
      <w:pPr>
        <w:pStyle w:val="FootnoteText"/>
        <w:ind w:left="0" w:firstLine="0"/>
        <w:rPr>
          <w:rFonts w:ascii="Times New Roman" w:hAnsi="Times New Roman"/>
          <w:sz w:val="20"/>
          <w:lang w:val="en-US"/>
        </w:rPr>
      </w:pPr>
      <w:r>
        <w:rPr>
          <w:rStyle w:val="FootnoteReference"/>
          <w:rFonts w:ascii="Times New Roman" w:hAnsi="Times New Roman" w:cs="Times New Roman"/>
          <w:sz w:val="20"/>
        </w:rPr>
        <w:footnoteRef/>
      </w:r>
      <w:r w:rsidRPr="00BF564A">
        <w:rPr>
          <w:rFonts w:ascii="Times New Roman" w:hAnsi="Times New Roman"/>
          <w:sz w:val="20"/>
          <w:lang w:val="en-US"/>
        </w:rPr>
        <w:t xml:space="preserve"> </w:t>
      </w:r>
      <w:r w:rsidR="00BF564A" w:rsidRPr="003A060E">
        <w:rPr>
          <w:rFonts w:ascii="Times New Roman" w:hAnsi="Times New Roman"/>
          <w:sz w:val="20"/>
          <w:lang w:val="en-US"/>
        </w:rPr>
        <w:t>https://ec.europa.eu/info/strategy/eu-budget/long-term-eu-budget/2021-2027_el</w:t>
      </w:r>
      <w:r w:rsidR="00BF564A">
        <w:rPr>
          <w:rFonts w:ascii="Times New Roman" w:hAnsi="Times New Roman"/>
          <w:sz w:val="20"/>
          <w:lang w:val="en-US"/>
        </w:rPr>
        <w:t xml:space="preserve"> </w:t>
      </w:r>
    </w:p>
  </w:footnote>
  <w:footnote w:id="4">
    <w:p w14:paraId="43036704" w14:textId="77777777" w:rsidR="00357983" w:rsidRPr="009F477F"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 xml:space="preserve">Ο Μηχανισμός Ανάκαμψης και Ανθεκτικότητας αποτελεί μέρος της δέσμης μέτρων </w:t>
      </w:r>
      <w:proofErr w:type="spellStart"/>
      <w:r>
        <w:rPr>
          <w:rFonts w:ascii="Times New Roman" w:hAnsi="Times New Roman"/>
          <w:sz w:val="20"/>
        </w:rPr>
        <w:t>NextGenerationEU</w:t>
      </w:r>
      <w:proofErr w:type="spellEnd"/>
      <w:r>
        <w:rPr>
          <w:rFonts w:ascii="Times New Roman" w:hAnsi="Times New Roman"/>
          <w:sz w:val="20"/>
        </w:rPr>
        <w:t>.</w:t>
      </w:r>
    </w:p>
  </w:footnote>
  <w:footnote w:id="5">
    <w:p w14:paraId="7493C9FC" w14:textId="53AA8278" w:rsidR="00357983" w:rsidRPr="00BF564A"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sidR="00BF564A" w:rsidRPr="003A060E">
        <w:rPr>
          <w:rFonts w:ascii="Times New Roman" w:hAnsi="Times New Roman"/>
          <w:sz w:val="20"/>
        </w:rPr>
        <w:t>https://ec.europa.eu/regional_policy/en/funding/erdf/</w:t>
      </w:r>
      <w:r w:rsidR="00BF564A" w:rsidRPr="00BF564A">
        <w:rPr>
          <w:rFonts w:ascii="Times New Roman" w:hAnsi="Times New Roman"/>
          <w:sz w:val="20"/>
        </w:rPr>
        <w:t xml:space="preserve"> </w:t>
      </w:r>
    </w:p>
  </w:footnote>
  <w:footnote w:id="6">
    <w:p w14:paraId="64B8CEF7" w14:textId="1AEB39F0" w:rsidR="00357983" w:rsidRPr="00BF564A"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sidR="00BF564A" w:rsidRPr="003A060E">
        <w:rPr>
          <w:rFonts w:ascii="Times New Roman" w:hAnsi="Times New Roman"/>
          <w:sz w:val="20"/>
        </w:rPr>
        <w:t>https://ec.europa.eu/regional_policy/el/funding/cohesion-fund/</w:t>
      </w:r>
      <w:r w:rsidR="00BF564A" w:rsidRPr="00BF564A">
        <w:rPr>
          <w:rFonts w:ascii="Times New Roman" w:hAnsi="Times New Roman"/>
          <w:sz w:val="20"/>
        </w:rPr>
        <w:t xml:space="preserve"> </w:t>
      </w:r>
    </w:p>
  </w:footnote>
  <w:footnote w:id="7">
    <w:p w14:paraId="20E8D4D7" w14:textId="08A0E540" w:rsidR="00357983" w:rsidRPr="00BF564A"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sidR="00BF564A" w:rsidRPr="003A060E">
        <w:rPr>
          <w:rFonts w:ascii="Times New Roman" w:hAnsi="Times New Roman"/>
          <w:sz w:val="20"/>
        </w:rPr>
        <w:t>https://ec.europa.eu/info/food-farming-fisheries/key-policies/common-agricultural-policy/rural-development_el</w:t>
      </w:r>
      <w:r w:rsidR="00BF564A" w:rsidRPr="00BF564A">
        <w:rPr>
          <w:rFonts w:ascii="Times New Roman" w:hAnsi="Times New Roman"/>
          <w:sz w:val="20"/>
        </w:rPr>
        <w:t xml:space="preserve"> </w:t>
      </w:r>
    </w:p>
  </w:footnote>
  <w:footnote w:id="8">
    <w:p w14:paraId="1F3A004B" w14:textId="2DB62851" w:rsidR="00357983" w:rsidRPr="00BF564A"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 xml:space="preserve">Υποστηρίζει λύσεις για την προώθηση μιας ανθεκτικής στην κλιματική αλλαγή οικονομίας, </w:t>
      </w:r>
      <w:r w:rsidR="00BF564A" w:rsidRPr="003A060E">
        <w:rPr>
          <w:rFonts w:ascii="Times New Roman" w:hAnsi="Times New Roman"/>
          <w:sz w:val="20"/>
        </w:rPr>
        <w:t>https://cinea.ec.europa.eu/life_el</w:t>
      </w:r>
      <w:r w:rsidR="00BF564A" w:rsidRPr="00BF564A">
        <w:rPr>
          <w:rFonts w:ascii="Times New Roman" w:hAnsi="Times New Roman"/>
          <w:sz w:val="20"/>
        </w:rPr>
        <w:t xml:space="preserve"> </w:t>
      </w:r>
    </w:p>
  </w:footnote>
  <w:footnote w:id="9">
    <w:p w14:paraId="0F29FBF7" w14:textId="60EFEBBE" w:rsidR="00357983" w:rsidRPr="00BF564A"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 xml:space="preserve">Πρόγραμμα-πλαίσιο για την έρευνα και την καινοτομία </w:t>
      </w:r>
      <w:r w:rsidR="00BF564A" w:rsidRPr="003A060E">
        <w:rPr>
          <w:rFonts w:ascii="Times New Roman" w:hAnsi="Times New Roman"/>
          <w:sz w:val="20"/>
        </w:rPr>
        <w:t>https://ec.europa.eu/info/research-and-innovation/funding/funding-opportunities/funding-programmes-and-open-calls/horizon-europe_en</w:t>
      </w:r>
      <w:r w:rsidR="00BF564A" w:rsidRPr="00BF564A">
        <w:rPr>
          <w:rFonts w:ascii="Times New Roman" w:hAnsi="Times New Roman"/>
          <w:sz w:val="20"/>
        </w:rPr>
        <w:t xml:space="preserve"> </w:t>
      </w:r>
    </w:p>
  </w:footnote>
  <w:footnote w:id="10">
    <w:p w14:paraId="58B3E77B" w14:textId="77777777" w:rsidR="00357983" w:rsidRPr="009F477F"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Το πρόγραμμα «</w:t>
      </w:r>
      <w:proofErr w:type="spellStart"/>
      <w:r>
        <w:rPr>
          <w:rFonts w:ascii="Times New Roman" w:hAnsi="Times New Roman"/>
          <w:sz w:val="20"/>
        </w:rPr>
        <w:t>Ορίζων</w:t>
      </w:r>
      <w:proofErr w:type="spellEnd"/>
      <w:r>
        <w:rPr>
          <w:rFonts w:ascii="Times New Roman" w:hAnsi="Times New Roman"/>
          <w:sz w:val="20"/>
        </w:rPr>
        <w:t xml:space="preserve"> 2020» είναι το τρέχον πρόγραμμα-πλαίσιο για την έρευνα. </w:t>
      </w:r>
    </w:p>
  </w:footnote>
  <w:footnote w:id="11">
    <w:p w14:paraId="08C42EBB" w14:textId="2492904F" w:rsidR="00357983" w:rsidRPr="00BF564A"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 xml:space="preserve">Εταιρική σχέση PRIMA </w:t>
      </w:r>
      <w:r w:rsidR="00BF564A" w:rsidRPr="003A060E">
        <w:rPr>
          <w:rFonts w:ascii="Times New Roman" w:hAnsi="Times New Roman"/>
          <w:sz w:val="20"/>
        </w:rPr>
        <w:t>https://prima-med.org/</w:t>
      </w:r>
      <w:r w:rsidR="00BF564A" w:rsidRPr="00BF564A">
        <w:rPr>
          <w:rFonts w:ascii="Times New Roman" w:hAnsi="Times New Roman"/>
          <w:sz w:val="20"/>
        </w:rPr>
        <w:t xml:space="preserve"> </w:t>
      </w:r>
    </w:p>
  </w:footnote>
  <w:footnote w:id="12">
    <w:p w14:paraId="694175A0" w14:textId="30F871E5" w:rsidR="00357983" w:rsidRPr="00BF564A" w:rsidRDefault="00357983" w:rsidP="009F477F">
      <w:pPr>
        <w:pStyle w:val="FootnoteText"/>
        <w:ind w:left="0" w:firstLine="0"/>
        <w:rPr>
          <w:rFonts w:ascii="Times New Roman" w:hAnsi="Times New Roman"/>
          <w:sz w:val="20"/>
        </w:rPr>
      </w:pPr>
      <w:r>
        <w:rPr>
          <w:rFonts w:ascii="Times New Roman" w:hAnsi="Times New Roman"/>
          <w:sz w:val="20"/>
          <w:vertAlign w:val="superscript"/>
          <w:lang w:val="it-IT"/>
        </w:rPr>
        <w:footnoteRef/>
      </w:r>
      <w:r w:rsidRPr="00BF564A">
        <w:rPr>
          <w:rFonts w:ascii="Times New Roman" w:hAnsi="Times New Roman"/>
          <w:sz w:val="20"/>
        </w:rPr>
        <w:t xml:space="preserve"> </w:t>
      </w:r>
      <w:r w:rsidR="00BF564A" w:rsidRPr="003A060E">
        <w:rPr>
          <w:rFonts w:ascii="Times New Roman" w:hAnsi="Times New Roman"/>
          <w:sz w:val="20"/>
          <w:lang w:val="en-US"/>
        </w:rPr>
        <w:t>https</w:t>
      </w:r>
      <w:r w:rsidR="00BF564A" w:rsidRPr="003A060E">
        <w:rPr>
          <w:rFonts w:ascii="Times New Roman" w:hAnsi="Times New Roman"/>
          <w:sz w:val="20"/>
        </w:rPr>
        <w:t>://</w:t>
      </w:r>
      <w:proofErr w:type="spellStart"/>
      <w:r w:rsidR="00BF564A" w:rsidRPr="003A060E">
        <w:rPr>
          <w:rFonts w:ascii="Times New Roman" w:hAnsi="Times New Roman"/>
          <w:sz w:val="20"/>
          <w:lang w:val="en-US"/>
        </w:rPr>
        <w:t>ec</w:t>
      </w:r>
      <w:proofErr w:type="spellEnd"/>
      <w:r w:rsidR="00BF564A" w:rsidRPr="003A060E">
        <w:rPr>
          <w:rFonts w:ascii="Times New Roman" w:hAnsi="Times New Roman"/>
          <w:sz w:val="20"/>
        </w:rPr>
        <w:t>.</w:t>
      </w:r>
      <w:proofErr w:type="spellStart"/>
      <w:r w:rsidR="00BF564A" w:rsidRPr="003A060E">
        <w:rPr>
          <w:rFonts w:ascii="Times New Roman" w:hAnsi="Times New Roman"/>
          <w:sz w:val="20"/>
          <w:lang w:val="en-US"/>
        </w:rPr>
        <w:t>europa</w:t>
      </w:r>
      <w:proofErr w:type="spellEnd"/>
      <w:r w:rsidR="00BF564A" w:rsidRPr="003A060E">
        <w:rPr>
          <w:rFonts w:ascii="Times New Roman" w:hAnsi="Times New Roman"/>
          <w:sz w:val="20"/>
        </w:rPr>
        <w:t>.</w:t>
      </w:r>
      <w:proofErr w:type="spellStart"/>
      <w:r w:rsidR="00BF564A" w:rsidRPr="003A060E">
        <w:rPr>
          <w:rFonts w:ascii="Times New Roman" w:hAnsi="Times New Roman"/>
          <w:sz w:val="20"/>
          <w:lang w:val="en-US"/>
        </w:rPr>
        <w:t>eu</w:t>
      </w:r>
      <w:proofErr w:type="spellEnd"/>
      <w:r w:rsidR="00BF564A" w:rsidRPr="003A060E">
        <w:rPr>
          <w:rFonts w:ascii="Times New Roman" w:hAnsi="Times New Roman"/>
          <w:sz w:val="20"/>
        </w:rPr>
        <w:t>/</w:t>
      </w:r>
      <w:r w:rsidR="00BF564A" w:rsidRPr="003A060E">
        <w:rPr>
          <w:rFonts w:ascii="Times New Roman" w:hAnsi="Times New Roman"/>
          <w:sz w:val="20"/>
          <w:lang w:val="en-US"/>
        </w:rPr>
        <w:t>info</w:t>
      </w:r>
      <w:r w:rsidR="00BF564A" w:rsidRPr="003A060E">
        <w:rPr>
          <w:rFonts w:ascii="Times New Roman" w:hAnsi="Times New Roman"/>
          <w:sz w:val="20"/>
        </w:rPr>
        <w:t>/</w:t>
      </w:r>
      <w:r w:rsidR="00BF564A" w:rsidRPr="003A060E">
        <w:rPr>
          <w:rFonts w:ascii="Times New Roman" w:hAnsi="Times New Roman"/>
          <w:sz w:val="20"/>
          <w:lang w:val="en-US"/>
        </w:rPr>
        <w:t>research</w:t>
      </w:r>
      <w:r w:rsidR="00BF564A" w:rsidRPr="003A060E">
        <w:rPr>
          <w:rFonts w:ascii="Times New Roman" w:hAnsi="Times New Roman"/>
          <w:sz w:val="20"/>
        </w:rPr>
        <w:t>-</w:t>
      </w:r>
      <w:r w:rsidR="00BF564A" w:rsidRPr="003A060E">
        <w:rPr>
          <w:rFonts w:ascii="Times New Roman" w:hAnsi="Times New Roman"/>
          <w:sz w:val="20"/>
          <w:lang w:val="en-US"/>
        </w:rPr>
        <w:t>and</w:t>
      </w:r>
      <w:r w:rsidR="00BF564A" w:rsidRPr="003A060E">
        <w:rPr>
          <w:rFonts w:ascii="Times New Roman" w:hAnsi="Times New Roman"/>
          <w:sz w:val="20"/>
        </w:rPr>
        <w:t>-</w:t>
      </w:r>
      <w:r w:rsidR="00BF564A" w:rsidRPr="003A060E">
        <w:rPr>
          <w:rFonts w:ascii="Times New Roman" w:hAnsi="Times New Roman"/>
          <w:sz w:val="20"/>
          <w:lang w:val="en-US"/>
        </w:rPr>
        <w:t>innovation</w:t>
      </w:r>
      <w:r w:rsidR="00BF564A" w:rsidRPr="003A060E">
        <w:rPr>
          <w:rFonts w:ascii="Times New Roman" w:hAnsi="Times New Roman"/>
          <w:sz w:val="20"/>
        </w:rPr>
        <w:t>/</w:t>
      </w:r>
      <w:r w:rsidR="00BF564A" w:rsidRPr="003A060E">
        <w:rPr>
          <w:rFonts w:ascii="Times New Roman" w:hAnsi="Times New Roman"/>
          <w:sz w:val="20"/>
          <w:lang w:val="en-US"/>
        </w:rPr>
        <w:t>research</w:t>
      </w:r>
      <w:r w:rsidR="00BF564A" w:rsidRPr="003A060E">
        <w:rPr>
          <w:rFonts w:ascii="Times New Roman" w:hAnsi="Times New Roman"/>
          <w:sz w:val="20"/>
        </w:rPr>
        <w:t>-</w:t>
      </w:r>
      <w:r w:rsidR="00BF564A" w:rsidRPr="003A060E">
        <w:rPr>
          <w:rFonts w:ascii="Times New Roman" w:hAnsi="Times New Roman"/>
          <w:sz w:val="20"/>
          <w:lang w:val="en-US"/>
        </w:rPr>
        <w:t>area</w:t>
      </w:r>
      <w:r w:rsidR="00BF564A" w:rsidRPr="003A060E">
        <w:rPr>
          <w:rFonts w:ascii="Times New Roman" w:hAnsi="Times New Roman"/>
          <w:sz w:val="20"/>
        </w:rPr>
        <w:t>/</w:t>
      </w:r>
      <w:r w:rsidR="00BF564A" w:rsidRPr="003A060E">
        <w:rPr>
          <w:rFonts w:ascii="Times New Roman" w:hAnsi="Times New Roman"/>
          <w:sz w:val="20"/>
          <w:lang w:val="en-US"/>
        </w:rPr>
        <w:t>environment</w:t>
      </w:r>
      <w:r w:rsidR="00BF564A" w:rsidRPr="003A060E">
        <w:rPr>
          <w:rFonts w:ascii="Times New Roman" w:hAnsi="Times New Roman"/>
          <w:sz w:val="20"/>
        </w:rPr>
        <w:t>/</w:t>
      </w:r>
      <w:r w:rsidR="00BF564A" w:rsidRPr="003A060E">
        <w:rPr>
          <w:rFonts w:ascii="Times New Roman" w:hAnsi="Times New Roman"/>
          <w:sz w:val="20"/>
          <w:lang w:val="en-US"/>
        </w:rPr>
        <w:t>circular</w:t>
      </w:r>
      <w:r w:rsidR="00BF564A" w:rsidRPr="003A060E">
        <w:rPr>
          <w:rFonts w:ascii="Times New Roman" w:hAnsi="Times New Roman"/>
          <w:sz w:val="20"/>
        </w:rPr>
        <w:t>-</w:t>
      </w:r>
      <w:r w:rsidR="00BF564A" w:rsidRPr="003A060E">
        <w:rPr>
          <w:rFonts w:ascii="Times New Roman" w:hAnsi="Times New Roman"/>
          <w:sz w:val="20"/>
          <w:lang w:val="en-US"/>
        </w:rPr>
        <w:t>economy</w:t>
      </w:r>
      <w:r w:rsidR="00BF564A" w:rsidRPr="003A060E">
        <w:rPr>
          <w:rFonts w:ascii="Times New Roman" w:hAnsi="Times New Roman"/>
          <w:sz w:val="20"/>
        </w:rPr>
        <w:t>/</w:t>
      </w:r>
      <w:r w:rsidR="00BF564A" w:rsidRPr="003A060E">
        <w:rPr>
          <w:rFonts w:ascii="Times New Roman" w:hAnsi="Times New Roman"/>
          <w:sz w:val="20"/>
          <w:lang w:val="en-US"/>
        </w:rPr>
        <w:t>circular</w:t>
      </w:r>
      <w:r w:rsidR="00BF564A" w:rsidRPr="003A060E">
        <w:rPr>
          <w:rFonts w:ascii="Times New Roman" w:hAnsi="Times New Roman"/>
          <w:sz w:val="20"/>
        </w:rPr>
        <w:t>-</w:t>
      </w:r>
      <w:r w:rsidR="00BF564A" w:rsidRPr="003A060E">
        <w:rPr>
          <w:rFonts w:ascii="Times New Roman" w:hAnsi="Times New Roman"/>
          <w:sz w:val="20"/>
          <w:lang w:val="en-US"/>
        </w:rPr>
        <w:t>cities</w:t>
      </w:r>
      <w:r w:rsidR="00BF564A" w:rsidRPr="003A060E">
        <w:rPr>
          <w:rFonts w:ascii="Times New Roman" w:hAnsi="Times New Roman"/>
          <w:sz w:val="20"/>
        </w:rPr>
        <w:t>-</w:t>
      </w:r>
      <w:r w:rsidR="00BF564A" w:rsidRPr="003A060E">
        <w:rPr>
          <w:rFonts w:ascii="Times New Roman" w:hAnsi="Times New Roman"/>
          <w:sz w:val="20"/>
          <w:lang w:val="en-US"/>
        </w:rPr>
        <w:t>and</w:t>
      </w:r>
      <w:r w:rsidR="00BF564A" w:rsidRPr="003A060E">
        <w:rPr>
          <w:rFonts w:ascii="Times New Roman" w:hAnsi="Times New Roman"/>
          <w:sz w:val="20"/>
        </w:rPr>
        <w:t>-</w:t>
      </w:r>
      <w:r w:rsidR="00BF564A" w:rsidRPr="003A060E">
        <w:rPr>
          <w:rFonts w:ascii="Times New Roman" w:hAnsi="Times New Roman"/>
          <w:sz w:val="20"/>
          <w:lang w:val="en-US"/>
        </w:rPr>
        <w:t>regions</w:t>
      </w:r>
      <w:r w:rsidR="00BF564A" w:rsidRPr="003A060E">
        <w:rPr>
          <w:rFonts w:ascii="Times New Roman" w:hAnsi="Times New Roman"/>
          <w:sz w:val="20"/>
        </w:rPr>
        <w:t>-</w:t>
      </w:r>
      <w:r w:rsidR="00BF564A" w:rsidRPr="003A060E">
        <w:rPr>
          <w:rFonts w:ascii="Times New Roman" w:hAnsi="Times New Roman"/>
          <w:sz w:val="20"/>
          <w:lang w:val="en-US"/>
        </w:rPr>
        <w:t>initiative</w:t>
      </w:r>
      <w:r w:rsidR="00BF564A" w:rsidRPr="003A060E">
        <w:rPr>
          <w:rFonts w:ascii="Times New Roman" w:hAnsi="Times New Roman"/>
          <w:sz w:val="20"/>
        </w:rPr>
        <w:t>_</w:t>
      </w:r>
      <w:proofErr w:type="spellStart"/>
      <w:r w:rsidR="00BF564A" w:rsidRPr="003A060E">
        <w:rPr>
          <w:rFonts w:ascii="Times New Roman" w:hAnsi="Times New Roman"/>
          <w:sz w:val="20"/>
          <w:lang w:val="en-US"/>
        </w:rPr>
        <w:t>en</w:t>
      </w:r>
      <w:proofErr w:type="spellEnd"/>
      <w:r w:rsidR="00BF564A" w:rsidRPr="00BF564A">
        <w:rPr>
          <w:rStyle w:val="Hyperlink"/>
          <w:rFonts w:ascii="Times New Roman" w:hAnsi="Times New Roman"/>
          <w:sz w:val="20"/>
        </w:rPr>
        <w:t xml:space="preserve"> </w:t>
      </w:r>
    </w:p>
  </w:footnote>
  <w:footnote w:id="13">
    <w:p w14:paraId="0F4A7616" w14:textId="7F903C6B" w:rsidR="00357983" w:rsidRPr="009F477F"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Κανονισμός (ΕΕ) 2020/741 του Ευρωπαϊκού Κοινοβουλίου και του Συμβουλίου, της 25ης Μαΐου 2020, σχετικά με τις ελάχιστες απαιτήσεις για την επαναχρησιμοποίηση των υδάτων (ΕΕ L 177 της 5.6.2020, σ. 32).</w:t>
      </w:r>
    </w:p>
  </w:footnote>
  <w:footnote w:id="14">
    <w:p w14:paraId="36A0E03E" w14:textId="785D42A6" w:rsidR="00357983" w:rsidRPr="00BF564A" w:rsidRDefault="00357983" w:rsidP="009F477F">
      <w:pPr>
        <w:pStyle w:val="FootnoteText"/>
        <w:tabs>
          <w:tab w:val="clear" w:pos="284"/>
          <w:tab w:val="left" w:pos="142"/>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 xml:space="preserve">Οδηγία 2010/75/ΕΕ του Ευρωπαϊκού Κοινοβουλίου και του Συμβουλίου, της 24ης Νοεμβρίου 2010, περί βιομηχανικών εκπομπών (ολοκληρωμένη πρόληψη και έλεγχος της ρύπανσης) (ΕΕ L 334 της 17.12.2010, σ. 17). Οι βέλτιστες διαθέσιμες τεχνικές (ΒΔΤ) για την αποδοτική χρήση και την επαναχρησιμοποίηση των υδάτων περιγράφονται στα συμπεράσματα για τις ΒΔΤ, τα οποία αποτελούν το σημείο αναφοράς για τον καθορισμό των όρων </w:t>
      </w:r>
      <w:proofErr w:type="spellStart"/>
      <w:r>
        <w:rPr>
          <w:rFonts w:ascii="Times New Roman" w:hAnsi="Times New Roman"/>
          <w:sz w:val="20"/>
        </w:rPr>
        <w:t>αδειοδότησης</w:t>
      </w:r>
      <w:proofErr w:type="spellEnd"/>
      <w:r>
        <w:rPr>
          <w:rFonts w:ascii="Times New Roman" w:hAnsi="Times New Roman"/>
          <w:sz w:val="20"/>
        </w:rPr>
        <w:t xml:space="preserve"> μεγάλων βιομηχανικών εγκαταστάσεων. Τα συμπεράσματα για τις ΒΔΤ για τους διάφορους βιομηχανικούς τομείς διατίθενται εδώ: </w:t>
      </w:r>
      <w:r w:rsidR="00BF564A" w:rsidRPr="003A060E">
        <w:rPr>
          <w:rFonts w:ascii="Times New Roman" w:hAnsi="Times New Roman"/>
          <w:sz w:val="20"/>
        </w:rPr>
        <w:t>https://eippcb.jrc.ec.europa.eu/reference</w:t>
      </w:r>
      <w:r w:rsidR="00BF564A" w:rsidRPr="00BF564A">
        <w:rPr>
          <w:rFonts w:ascii="Times New Roman" w:hAnsi="Times New Roman"/>
          <w:sz w:val="20"/>
        </w:rPr>
        <w:t xml:space="preserve"> </w:t>
      </w:r>
    </w:p>
  </w:footnote>
  <w:footnote w:id="15">
    <w:p w14:paraId="54C7717B" w14:textId="2C5B29E9" w:rsidR="00357983" w:rsidRPr="00BF564A"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sidR="00BF564A" w:rsidRPr="003A060E">
        <w:rPr>
          <w:rFonts w:ascii="Times New Roman" w:hAnsi="Times New Roman"/>
          <w:sz w:val="20"/>
        </w:rPr>
        <w:t>https://ec.europa.eu/clima/policies/adaptation/what_el</w:t>
      </w:r>
      <w:r w:rsidR="00BF564A" w:rsidRPr="00BF564A">
        <w:rPr>
          <w:rFonts w:ascii="Times New Roman" w:hAnsi="Times New Roman"/>
          <w:sz w:val="20"/>
        </w:rPr>
        <w:t xml:space="preserve"> </w:t>
      </w:r>
    </w:p>
  </w:footnote>
  <w:footnote w:id="16">
    <w:p w14:paraId="0259560D" w14:textId="497576B6" w:rsidR="00357983" w:rsidRPr="00BF564A"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sidR="00BF564A" w:rsidRPr="003A060E">
        <w:rPr>
          <w:rFonts w:ascii="Times New Roman" w:hAnsi="Times New Roman"/>
          <w:sz w:val="20"/>
        </w:rPr>
        <w:t>https://ec.europa.eu/energy/topics/energy-efficiency/energy-efficient-buildings/renovation-wave_en</w:t>
      </w:r>
      <w:r w:rsidR="00BF564A" w:rsidRPr="00BF564A">
        <w:rPr>
          <w:rFonts w:ascii="Times New Roman" w:hAnsi="Times New Roman"/>
          <w:sz w:val="20"/>
        </w:rPr>
        <w:t xml:space="preserve"> </w:t>
      </w:r>
    </w:p>
  </w:footnote>
  <w:footnote w:id="17">
    <w:p w14:paraId="3846E672" w14:textId="77777777" w:rsidR="00357983" w:rsidRPr="009F477F" w:rsidRDefault="00357983" w:rsidP="009F477F">
      <w:pPr>
        <w:pStyle w:val="FootnoteText"/>
        <w:tabs>
          <w:tab w:val="clear" w:pos="284"/>
          <w:tab w:val="left" w:pos="142"/>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Η κοινή στρατηγική εφαρμογής συγκεντρώνει την Επιτροπή, τα κράτη μέλη και τα ενδιαφερόμενα μέρη για να βοηθήσουν στην εφαρμογή της οδηγίας-πλαισίου για τα ύδατα και της σχετικής νομοθεσίας για τα ύδατα. Η δομή περιλαμβάνει ομάδα εργασίας αφιερωμένη στην επαναχρησιμοποίηση των υδάτων.</w:t>
      </w:r>
    </w:p>
  </w:footnote>
  <w:footnote w:id="18">
    <w:p w14:paraId="13038653" w14:textId="37DDD3C0" w:rsidR="00357983" w:rsidRPr="009F477F" w:rsidRDefault="00357983"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Για παράδειγμα, φορείς εκμετάλλευσης των εγκαταστάσεων και αγρότες.</w:t>
      </w:r>
    </w:p>
  </w:footnote>
  <w:footnote w:id="19">
    <w:p w14:paraId="1944615E" w14:textId="1135EE1E" w:rsidR="00D541DD" w:rsidRPr="009F477F" w:rsidRDefault="00D541DD" w:rsidP="009F477F">
      <w:pPr>
        <w:pStyle w:val="FootnoteText"/>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Συμπεριλαμβανομένου του ευρωπαϊκού συμφώνου για το κλίμα (</w:t>
      </w:r>
      <w:r w:rsidR="00BF564A" w:rsidRPr="003A060E">
        <w:rPr>
          <w:rFonts w:ascii="Times New Roman" w:hAnsi="Times New Roman"/>
          <w:sz w:val="20"/>
        </w:rPr>
        <w:t>https://ec.europa.eu/clima/policies/eu-climate-action/pact_el</w:t>
      </w:r>
      <w:r>
        <w:rPr>
          <w:rFonts w:ascii="Times New Roman" w:hAnsi="Times New Roman"/>
          <w:sz w:val="20"/>
        </w:rPr>
        <w:t>), της πλατφόρμας ενδιαφερόμενων φορέων για την κυκλική οικονομία (</w:t>
      </w:r>
      <w:r w:rsidR="00BF564A" w:rsidRPr="003A060E">
        <w:rPr>
          <w:rFonts w:ascii="Times New Roman" w:hAnsi="Times New Roman"/>
          <w:sz w:val="20"/>
        </w:rPr>
        <w:t>https://circulareconomy.europa.eu/platform/</w:t>
      </w:r>
      <w:r>
        <w:rPr>
          <w:rFonts w:ascii="Times New Roman" w:hAnsi="Times New Roman"/>
          <w:sz w:val="20"/>
        </w:rPr>
        <w:t>) και της συμφωνίας για την πράσινη πόλη (</w:t>
      </w:r>
      <w:r w:rsidR="00BF564A" w:rsidRPr="003A060E">
        <w:rPr>
          <w:rFonts w:ascii="Times New Roman" w:hAnsi="Times New Roman"/>
          <w:sz w:val="20"/>
        </w:rPr>
        <w:t>https://ec.europa.eu/environmen</w:t>
      </w:r>
      <w:bookmarkStart w:id="0" w:name="_GoBack"/>
      <w:bookmarkEnd w:id="0"/>
      <w:r w:rsidR="00BF564A" w:rsidRPr="003A060E">
        <w:rPr>
          <w:rFonts w:ascii="Times New Roman" w:hAnsi="Times New Roman"/>
          <w:sz w:val="20"/>
        </w:rPr>
        <w:t>t/green-city-accord_el</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693E" w14:textId="77777777" w:rsidR="00BD1DBC" w:rsidRDefault="00BD1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33D5" w14:textId="77777777" w:rsidR="00BD1DBC" w:rsidRDefault="00BD1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29F6" w14:textId="77777777" w:rsidR="00BD1DBC" w:rsidRDefault="00BD1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E3220"/>
    <w:multiLevelType w:val="hybridMultilevel"/>
    <w:tmpl w:val="88DE3848"/>
    <w:lvl w:ilvl="0" w:tplc="AE9E8A88">
      <w:start w:val="1"/>
      <w:numFmt w:val="bullet"/>
      <w:lvlText w:val="•"/>
      <w:lvlJc w:val="left"/>
      <w:pPr>
        <w:tabs>
          <w:tab w:val="num" w:pos="720"/>
        </w:tabs>
        <w:ind w:left="720" w:hanging="360"/>
      </w:pPr>
      <w:rPr>
        <w:rFonts w:ascii="Arial" w:hAnsi="Arial" w:hint="default"/>
      </w:rPr>
    </w:lvl>
    <w:lvl w:ilvl="1" w:tplc="E326E34C">
      <w:start w:val="251"/>
      <w:numFmt w:val="bullet"/>
      <w:lvlText w:val="•"/>
      <w:lvlJc w:val="left"/>
      <w:pPr>
        <w:tabs>
          <w:tab w:val="num" w:pos="1440"/>
        </w:tabs>
        <w:ind w:left="1440" w:hanging="360"/>
      </w:pPr>
      <w:rPr>
        <w:rFonts w:ascii="Arial" w:hAnsi="Arial" w:hint="default"/>
      </w:rPr>
    </w:lvl>
    <w:lvl w:ilvl="2" w:tplc="804C5DB4" w:tentative="1">
      <w:start w:val="1"/>
      <w:numFmt w:val="bullet"/>
      <w:lvlText w:val="•"/>
      <w:lvlJc w:val="left"/>
      <w:pPr>
        <w:tabs>
          <w:tab w:val="num" w:pos="2160"/>
        </w:tabs>
        <w:ind w:left="2160" w:hanging="360"/>
      </w:pPr>
      <w:rPr>
        <w:rFonts w:ascii="Arial" w:hAnsi="Arial" w:hint="default"/>
      </w:rPr>
    </w:lvl>
    <w:lvl w:ilvl="3" w:tplc="2D9E6908" w:tentative="1">
      <w:start w:val="1"/>
      <w:numFmt w:val="bullet"/>
      <w:lvlText w:val="•"/>
      <w:lvlJc w:val="left"/>
      <w:pPr>
        <w:tabs>
          <w:tab w:val="num" w:pos="2880"/>
        </w:tabs>
        <w:ind w:left="2880" w:hanging="360"/>
      </w:pPr>
      <w:rPr>
        <w:rFonts w:ascii="Arial" w:hAnsi="Arial" w:hint="default"/>
      </w:rPr>
    </w:lvl>
    <w:lvl w:ilvl="4" w:tplc="D842E042" w:tentative="1">
      <w:start w:val="1"/>
      <w:numFmt w:val="bullet"/>
      <w:lvlText w:val="•"/>
      <w:lvlJc w:val="left"/>
      <w:pPr>
        <w:tabs>
          <w:tab w:val="num" w:pos="3600"/>
        </w:tabs>
        <w:ind w:left="3600" w:hanging="360"/>
      </w:pPr>
      <w:rPr>
        <w:rFonts w:ascii="Arial" w:hAnsi="Arial" w:hint="default"/>
      </w:rPr>
    </w:lvl>
    <w:lvl w:ilvl="5" w:tplc="0982114A" w:tentative="1">
      <w:start w:val="1"/>
      <w:numFmt w:val="bullet"/>
      <w:lvlText w:val="•"/>
      <w:lvlJc w:val="left"/>
      <w:pPr>
        <w:tabs>
          <w:tab w:val="num" w:pos="4320"/>
        </w:tabs>
        <w:ind w:left="4320" w:hanging="360"/>
      </w:pPr>
      <w:rPr>
        <w:rFonts w:ascii="Arial" w:hAnsi="Arial" w:hint="default"/>
      </w:rPr>
    </w:lvl>
    <w:lvl w:ilvl="6" w:tplc="C3844BE0" w:tentative="1">
      <w:start w:val="1"/>
      <w:numFmt w:val="bullet"/>
      <w:lvlText w:val="•"/>
      <w:lvlJc w:val="left"/>
      <w:pPr>
        <w:tabs>
          <w:tab w:val="num" w:pos="5040"/>
        </w:tabs>
        <w:ind w:left="5040" w:hanging="360"/>
      </w:pPr>
      <w:rPr>
        <w:rFonts w:ascii="Arial" w:hAnsi="Arial" w:hint="default"/>
      </w:rPr>
    </w:lvl>
    <w:lvl w:ilvl="7" w:tplc="2C9A86AC" w:tentative="1">
      <w:start w:val="1"/>
      <w:numFmt w:val="bullet"/>
      <w:lvlText w:val="•"/>
      <w:lvlJc w:val="left"/>
      <w:pPr>
        <w:tabs>
          <w:tab w:val="num" w:pos="5760"/>
        </w:tabs>
        <w:ind w:left="5760" w:hanging="360"/>
      </w:pPr>
      <w:rPr>
        <w:rFonts w:ascii="Arial" w:hAnsi="Arial" w:hint="default"/>
      </w:rPr>
    </w:lvl>
    <w:lvl w:ilvl="8" w:tplc="DE82CB4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0501F1"/>
    <w:rsid w:val="00050CA3"/>
    <w:rsid w:val="00077FB9"/>
    <w:rsid w:val="000913DC"/>
    <w:rsid w:val="001424F7"/>
    <w:rsid w:val="0014636B"/>
    <w:rsid w:val="00184828"/>
    <w:rsid w:val="001B5F2A"/>
    <w:rsid w:val="001E11B8"/>
    <w:rsid w:val="0023561E"/>
    <w:rsid w:val="00242841"/>
    <w:rsid w:val="00262946"/>
    <w:rsid w:val="00274F2B"/>
    <w:rsid w:val="002B7D48"/>
    <w:rsid w:val="002C0E47"/>
    <w:rsid w:val="002D0ED0"/>
    <w:rsid w:val="002E1DF0"/>
    <w:rsid w:val="002F300B"/>
    <w:rsid w:val="00357983"/>
    <w:rsid w:val="003859C5"/>
    <w:rsid w:val="00396A22"/>
    <w:rsid w:val="003A060E"/>
    <w:rsid w:val="00407D5B"/>
    <w:rsid w:val="00451558"/>
    <w:rsid w:val="0045798C"/>
    <w:rsid w:val="00475D8C"/>
    <w:rsid w:val="004956BF"/>
    <w:rsid w:val="00556AEA"/>
    <w:rsid w:val="00556EC9"/>
    <w:rsid w:val="005F68B7"/>
    <w:rsid w:val="0064058C"/>
    <w:rsid w:val="0068464C"/>
    <w:rsid w:val="00685E81"/>
    <w:rsid w:val="006E7D32"/>
    <w:rsid w:val="00700673"/>
    <w:rsid w:val="0075268E"/>
    <w:rsid w:val="00785EF0"/>
    <w:rsid w:val="00795DC6"/>
    <w:rsid w:val="00807162"/>
    <w:rsid w:val="008A6E46"/>
    <w:rsid w:val="00952B8F"/>
    <w:rsid w:val="009D0D96"/>
    <w:rsid w:val="009D790D"/>
    <w:rsid w:val="009F1A87"/>
    <w:rsid w:val="009F477F"/>
    <w:rsid w:val="00A52E34"/>
    <w:rsid w:val="00A77B3E"/>
    <w:rsid w:val="00A97ABC"/>
    <w:rsid w:val="00AA08AC"/>
    <w:rsid w:val="00AA4FC2"/>
    <w:rsid w:val="00AC3B90"/>
    <w:rsid w:val="00AF1B92"/>
    <w:rsid w:val="00B50961"/>
    <w:rsid w:val="00B6625F"/>
    <w:rsid w:val="00B90046"/>
    <w:rsid w:val="00B966A5"/>
    <w:rsid w:val="00BD1DBC"/>
    <w:rsid w:val="00BF3124"/>
    <w:rsid w:val="00BF564A"/>
    <w:rsid w:val="00BF6BC4"/>
    <w:rsid w:val="00C0055E"/>
    <w:rsid w:val="00C8062A"/>
    <w:rsid w:val="00CA2A55"/>
    <w:rsid w:val="00D17F22"/>
    <w:rsid w:val="00D541DD"/>
    <w:rsid w:val="00D73FED"/>
    <w:rsid w:val="00D861FC"/>
    <w:rsid w:val="00DE3034"/>
    <w:rsid w:val="00DF19AB"/>
    <w:rsid w:val="00E32161"/>
    <w:rsid w:val="00E81752"/>
    <w:rsid w:val="00F8197F"/>
    <w:rsid w:val="00FF7B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4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link w:val="FootnoteTextChar"/>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character" w:styleId="CommentReference">
    <w:name w:val="annotation reference"/>
    <w:basedOn w:val="DefaultParagraphFont"/>
    <w:semiHidden/>
    <w:unhideWhenUsed/>
    <w:rsid w:val="00B966A5"/>
    <w:rPr>
      <w:sz w:val="16"/>
      <w:szCs w:val="16"/>
    </w:rPr>
  </w:style>
  <w:style w:type="paragraph" w:styleId="CommentText">
    <w:name w:val="annotation text"/>
    <w:basedOn w:val="Normal"/>
    <w:link w:val="CommentTextChar"/>
    <w:semiHidden/>
    <w:unhideWhenUsed/>
    <w:rsid w:val="00B966A5"/>
  </w:style>
  <w:style w:type="character" w:customStyle="1" w:styleId="CommentTextChar">
    <w:name w:val="Comment Text Char"/>
    <w:basedOn w:val="DefaultParagraphFont"/>
    <w:link w:val="CommentText"/>
    <w:semiHidden/>
    <w:rsid w:val="00B966A5"/>
    <w:rPr>
      <w:rFonts w:ascii="Arial" w:hAnsi="Arial"/>
    </w:rPr>
  </w:style>
  <w:style w:type="paragraph" w:styleId="CommentSubject">
    <w:name w:val="annotation subject"/>
    <w:basedOn w:val="CommentText"/>
    <w:next w:val="CommentText"/>
    <w:link w:val="CommentSubjectChar"/>
    <w:semiHidden/>
    <w:unhideWhenUsed/>
    <w:rsid w:val="00B966A5"/>
    <w:rPr>
      <w:b/>
      <w:bCs/>
    </w:rPr>
  </w:style>
  <w:style w:type="character" w:customStyle="1" w:styleId="CommentSubjectChar">
    <w:name w:val="Comment Subject Char"/>
    <w:basedOn w:val="CommentTextChar"/>
    <w:link w:val="CommentSubject"/>
    <w:semiHidden/>
    <w:rsid w:val="00B966A5"/>
    <w:rPr>
      <w:rFonts w:ascii="Arial" w:hAnsi="Arial"/>
      <w:b/>
      <w:bCs/>
    </w:rPr>
  </w:style>
  <w:style w:type="character" w:styleId="FollowedHyperlink">
    <w:name w:val="FollowedHyperlink"/>
    <w:basedOn w:val="DefaultParagraphFont"/>
    <w:semiHidden/>
    <w:unhideWhenUsed/>
    <w:rsid w:val="0045798C"/>
    <w:rPr>
      <w:color w:val="954F72" w:themeColor="followedHyperlink"/>
      <w:u w:val="single"/>
    </w:rPr>
  </w:style>
  <w:style w:type="character" w:customStyle="1" w:styleId="FootnoteTextChar">
    <w:name w:val="Footnote Text Char"/>
    <w:basedOn w:val="DefaultParagraphFont"/>
    <w:link w:val="FootnoteText"/>
    <w:semiHidden/>
    <w:rsid w:val="00357983"/>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49485">
      <w:bodyDiv w:val="1"/>
      <w:marLeft w:val="0"/>
      <w:marRight w:val="0"/>
      <w:marTop w:val="0"/>
      <w:marBottom w:val="0"/>
      <w:divBdr>
        <w:top w:val="none" w:sz="0" w:space="0" w:color="auto"/>
        <w:left w:val="none" w:sz="0" w:space="0" w:color="auto"/>
        <w:bottom w:val="none" w:sz="0" w:space="0" w:color="auto"/>
        <w:right w:val="none" w:sz="0" w:space="0" w:color="auto"/>
      </w:divBdr>
      <w:divsChild>
        <w:div w:id="1088501095">
          <w:marLeft w:val="446"/>
          <w:marRight w:val="0"/>
          <w:marTop w:val="120"/>
          <w:marBottom w:val="360"/>
          <w:divBdr>
            <w:top w:val="none" w:sz="0" w:space="0" w:color="auto"/>
            <w:left w:val="none" w:sz="0" w:space="0" w:color="auto"/>
            <w:bottom w:val="none" w:sz="0" w:space="0" w:color="auto"/>
            <w:right w:val="none" w:sz="0" w:space="0" w:color="auto"/>
          </w:divBdr>
        </w:div>
        <w:div w:id="361899564">
          <w:marLeft w:val="446"/>
          <w:marRight w:val="0"/>
          <w:marTop w:val="120"/>
          <w:marBottom w:val="120"/>
          <w:divBdr>
            <w:top w:val="none" w:sz="0" w:space="0" w:color="auto"/>
            <w:left w:val="none" w:sz="0" w:space="0" w:color="auto"/>
            <w:bottom w:val="none" w:sz="0" w:space="0" w:color="auto"/>
            <w:right w:val="none" w:sz="0" w:space="0" w:color="auto"/>
          </w:divBdr>
        </w:div>
        <w:div w:id="1112242913">
          <w:marLeft w:val="1166"/>
          <w:marRight w:val="0"/>
          <w:marTop w:val="80"/>
          <w:marBottom w:val="80"/>
          <w:divBdr>
            <w:top w:val="none" w:sz="0" w:space="0" w:color="auto"/>
            <w:left w:val="none" w:sz="0" w:space="0" w:color="auto"/>
            <w:bottom w:val="none" w:sz="0" w:space="0" w:color="auto"/>
            <w:right w:val="none" w:sz="0" w:space="0" w:color="auto"/>
          </w:divBdr>
        </w:div>
        <w:div w:id="956260517">
          <w:marLeft w:val="1166"/>
          <w:marRight w:val="0"/>
          <w:marTop w:val="80"/>
          <w:marBottom w:val="80"/>
          <w:divBdr>
            <w:top w:val="none" w:sz="0" w:space="0" w:color="auto"/>
            <w:left w:val="none" w:sz="0" w:space="0" w:color="auto"/>
            <w:bottom w:val="none" w:sz="0" w:space="0" w:color="auto"/>
            <w:right w:val="none" w:sz="0" w:space="0" w:color="auto"/>
          </w:divBdr>
        </w:div>
        <w:div w:id="83261763">
          <w:marLeft w:val="1166"/>
          <w:marRight w:val="0"/>
          <w:marTop w:val="80"/>
          <w:marBottom w:val="360"/>
          <w:divBdr>
            <w:top w:val="none" w:sz="0" w:space="0" w:color="auto"/>
            <w:left w:val="none" w:sz="0" w:space="0" w:color="auto"/>
            <w:bottom w:val="none" w:sz="0" w:space="0" w:color="auto"/>
            <w:right w:val="none" w:sz="0" w:space="0" w:color="auto"/>
          </w:divBdr>
        </w:div>
        <w:div w:id="194315771">
          <w:marLeft w:val="446"/>
          <w:marRight w:val="0"/>
          <w:marTop w:val="120"/>
          <w:marBottom w:val="120"/>
          <w:divBdr>
            <w:top w:val="none" w:sz="0" w:space="0" w:color="auto"/>
            <w:left w:val="none" w:sz="0" w:space="0" w:color="auto"/>
            <w:bottom w:val="none" w:sz="0" w:space="0" w:color="auto"/>
            <w:right w:val="none" w:sz="0" w:space="0" w:color="auto"/>
          </w:divBdr>
        </w:div>
        <w:div w:id="1869026839">
          <w:marLeft w:val="1166"/>
          <w:marRight w:val="0"/>
          <w:marTop w:val="80"/>
          <w:marBottom w:val="80"/>
          <w:divBdr>
            <w:top w:val="none" w:sz="0" w:space="0" w:color="auto"/>
            <w:left w:val="none" w:sz="0" w:space="0" w:color="auto"/>
            <w:bottom w:val="none" w:sz="0" w:space="0" w:color="auto"/>
            <w:right w:val="none" w:sz="0" w:space="0" w:color="auto"/>
          </w:divBdr>
        </w:div>
        <w:div w:id="623539334">
          <w:marLeft w:val="1166"/>
          <w:marRight w:val="0"/>
          <w:marTop w:val="80"/>
          <w:marBottom w:val="80"/>
          <w:divBdr>
            <w:top w:val="none" w:sz="0" w:space="0" w:color="auto"/>
            <w:left w:val="none" w:sz="0" w:space="0" w:color="auto"/>
            <w:bottom w:val="none" w:sz="0" w:space="0" w:color="auto"/>
            <w:right w:val="none" w:sz="0" w:space="0" w:color="auto"/>
          </w:divBdr>
        </w:div>
        <w:div w:id="453713441">
          <w:marLeft w:val="1166"/>
          <w:marRight w:val="0"/>
          <w:marTop w:val="80"/>
          <w:marBottom w:val="80"/>
          <w:divBdr>
            <w:top w:val="none" w:sz="0" w:space="0" w:color="auto"/>
            <w:left w:val="none" w:sz="0" w:space="0" w:color="auto"/>
            <w:bottom w:val="none" w:sz="0" w:space="0" w:color="auto"/>
            <w:right w:val="none" w:sz="0" w:space="0" w:color="auto"/>
          </w:divBdr>
        </w:div>
        <w:div w:id="322125071">
          <w:marLeft w:val="1166"/>
          <w:marRight w:val="0"/>
          <w:marTop w:val="80"/>
          <w:marBottom w:val="80"/>
          <w:divBdr>
            <w:top w:val="none" w:sz="0" w:space="0" w:color="auto"/>
            <w:left w:val="none" w:sz="0" w:space="0" w:color="auto"/>
            <w:bottom w:val="none" w:sz="0" w:space="0" w:color="auto"/>
            <w:right w:val="none" w:sz="0" w:space="0" w:color="auto"/>
          </w:divBdr>
        </w:div>
        <w:div w:id="1731224932">
          <w:marLeft w:val="1166"/>
          <w:marRight w:val="0"/>
          <w:marTop w:val="80"/>
          <w:marBottom w:val="80"/>
          <w:divBdr>
            <w:top w:val="none" w:sz="0" w:space="0" w:color="auto"/>
            <w:left w:val="none" w:sz="0" w:space="0" w:color="auto"/>
            <w:bottom w:val="none" w:sz="0" w:space="0" w:color="auto"/>
            <w:right w:val="none" w:sz="0" w:space="0" w:color="auto"/>
          </w:divBdr>
        </w:div>
        <w:div w:id="2091270032">
          <w:marLeft w:val="116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1975</Characters>
  <Application>Microsoft Office Word</Application>
  <DocSecurity>0</DocSecurity>
  <Lines>37</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2021-07-13T07:03:00Z</dcterms:created>
  <dcterms:modified xsi:type="dcterms:W3CDTF">2021-08-05T09:40:00Z</dcterms:modified>
  <cp:revision>1</cp:revision>
</cp:coreProperties>
</file>