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D47" w:rsidRPr="00F93FE3" w:rsidRDefault="008D4D47" w:rsidP="00F93FE3">
      <w:pPr>
        <w:pStyle w:val="itemList"/>
        <w:tabs>
          <w:tab w:val="clear" w:pos="425"/>
          <w:tab w:val="clear" w:pos="851"/>
          <w:tab w:val="clear" w:pos="1276"/>
        </w:tabs>
        <w:spacing w:after="0"/>
        <w:ind w:left="0" w:firstLine="0"/>
        <w:jc w:val="both"/>
        <w:rPr>
          <w:rFonts w:ascii="Times New Roman" w:hAnsi="Times New Roman"/>
          <w:sz w:val="24"/>
        </w:rPr>
      </w:pPr>
      <w:r>
        <w:rPr>
          <w:rFonts w:ascii="Times New Roman" w:hAnsi="Times New Roman"/>
          <w:sz w:val="24"/>
          <w:szCs w:val="24"/>
        </w:rPr>
        <w:t>EL</w:t>
      </w:r>
      <w:r>
        <w:rPr>
          <w:rFonts w:ascii="Times New Roman" w:hAnsi="Times New Roman"/>
          <w:sz w:val="24"/>
          <w:szCs w:val="24"/>
        </w:rPr>
        <w:cr/>
        <w:t>E-004032/2021</w:t>
      </w:r>
      <w:r>
        <w:rPr>
          <w:rFonts w:ascii="Times New Roman" w:hAnsi="Times New Roman"/>
          <w:sz w:val="24"/>
          <w:szCs w:val="24"/>
        </w:rPr>
        <w:cr/>
        <w:t>Απάντηση της κ. Ferreira</w:t>
      </w:r>
      <w:r>
        <w:rPr>
          <w:rFonts w:ascii="Times New Roman" w:hAnsi="Times New Roman"/>
          <w:sz w:val="24"/>
          <w:szCs w:val="24"/>
        </w:rPr>
        <w:cr/>
        <w:t>εξ ονόματος της Ευρωπαϊκής Επιτροπής</w:t>
      </w:r>
      <w:r>
        <w:rPr>
          <w:rFonts w:ascii="Times New Roman" w:hAnsi="Times New Roman"/>
          <w:sz w:val="24"/>
          <w:szCs w:val="24"/>
        </w:rPr>
        <w:cr/>
        <w:t>(24.11.2021)</w:t>
      </w:r>
    </w:p>
    <w:p w:rsidR="008D4D47" w:rsidRPr="00F93FE3" w:rsidRDefault="008D4D47" w:rsidP="00F93FE3">
      <w:pPr>
        <w:pStyle w:val="itemList"/>
        <w:tabs>
          <w:tab w:val="clear" w:pos="425"/>
          <w:tab w:val="clear" w:pos="851"/>
          <w:tab w:val="clear" w:pos="1276"/>
        </w:tabs>
        <w:spacing w:after="0"/>
        <w:ind w:left="0" w:firstLine="0"/>
        <w:jc w:val="both"/>
        <w:rPr>
          <w:rFonts w:ascii="Times New Roman" w:hAnsi="Times New Roman"/>
          <w:sz w:val="24"/>
        </w:rPr>
      </w:pPr>
    </w:p>
    <w:p w:rsidR="00F93FE3" w:rsidRPr="00F93FE3" w:rsidRDefault="00F93FE3" w:rsidP="00F93FE3">
      <w:pPr>
        <w:pStyle w:val="itemList"/>
        <w:tabs>
          <w:tab w:val="clear" w:pos="425"/>
          <w:tab w:val="clear" w:pos="851"/>
          <w:tab w:val="clear" w:pos="1276"/>
        </w:tabs>
        <w:spacing w:after="0"/>
        <w:ind w:left="0" w:firstLine="0"/>
        <w:jc w:val="both"/>
        <w:rPr>
          <w:rFonts w:ascii="Times New Roman" w:hAnsi="Times New Roman"/>
          <w:sz w:val="24"/>
        </w:rPr>
      </w:pPr>
    </w:p>
    <w:p w:rsidR="008D4D47" w:rsidRPr="00F93FE3" w:rsidRDefault="00236D63" w:rsidP="00F93FE3">
      <w:pPr>
        <w:widowControl/>
        <w:tabs>
          <w:tab w:val="clear" w:pos="425"/>
          <w:tab w:val="clear" w:pos="851"/>
          <w:tab w:val="clear" w:pos="1276"/>
        </w:tabs>
        <w:spacing w:after="0"/>
        <w:jc w:val="both"/>
        <w:rPr>
          <w:rFonts w:ascii="Times New Roman" w:hAnsi="Times New Roman"/>
          <w:sz w:val="24"/>
          <w:szCs w:val="24"/>
        </w:rPr>
      </w:pPr>
      <w:r>
        <w:rPr>
          <w:rFonts w:ascii="Times New Roman" w:hAnsi="Times New Roman"/>
          <w:sz w:val="24"/>
          <w:szCs w:val="24"/>
        </w:rPr>
        <w:t>Το κράτος μέλος μπορεί να υποβάλει αίτηση στο Ταμείο Αλληλεγγύης της ΕΕ (ΤΑΕΕ) εντός 12 εβδομάδων από την επέλευση μιας καταστροφής</w:t>
      </w:r>
      <w:r>
        <w:rPr>
          <w:rStyle w:val="FootnoteReference"/>
          <w:rFonts w:ascii="Times New Roman" w:hAnsi="Times New Roman" w:cs="Times New Roman"/>
          <w:sz w:val="24"/>
          <w:szCs w:val="24"/>
        </w:rPr>
        <w:footnoteReference w:id="2"/>
      </w:r>
      <w:r>
        <w:rPr>
          <w:rFonts w:ascii="Times New Roman" w:hAnsi="Times New Roman"/>
          <w:sz w:val="24"/>
          <w:szCs w:val="24"/>
        </w:rPr>
        <w:t xml:space="preserve">. Το ΤΑΕΕ καλύπτει τις δημόσιες δαπάνες για ενέργειες έκτακτης ανάγκης και ανάκαμψης. Οι ιδιωτικές ζημίες δεν είναι επιλέξιμες. </w:t>
      </w:r>
    </w:p>
    <w:p w:rsidR="00F93FE3" w:rsidRPr="00F93FE3" w:rsidRDefault="00F93FE3" w:rsidP="00F93FE3">
      <w:pPr>
        <w:widowControl/>
        <w:tabs>
          <w:tab w:val="clear" w:pos="425"/>
          <w:tab w:val="clear" w:pos="851"/>
          <w:tab w:val="clear" w:pos="1276"/>
        </w:tabs>
        <w:spacing w:after="0"/>
        <w:jc w:val="both"/>
        <w:rPr>
          <w:rFonts w:ascii="Times New Roman" w:hAnsi="Times New Roman"/>
          <w:sz w:val="24"/>
          <w:szCs w:val="24"/>
        </w:rPr>
      </w:pPr>
    </w:p>
    <w:p w:rsidR="00A32819" w:rsidRPr="00F93FE3" w:rsidRDefault="00A32819" w:rsidP="00F93FE3">
      <w:pPr>
        <w:widowControl/>
        <w:spacing w:after="0"/>
        <w:jc w:val="both"/>
        <w:rPr>
          <w:rFonts w:ascii="Times New Roman" w:hAnsi="Times New Roman"/>
          <w:sz w:val="24"/>
          <w:szCs w:val="24"/>
        </w:rPr>
      </w:pPr>
      <w:r>
        <w:rPr>
          <w:rFonts w:ascii="Times New Roman" w:hAnsi="Times New Roman"/>
          <w:sz w:val="24"/>
          <w:szCs w:val="24"/>
        </w:rPr>
        <w:t>Ο μηχανισμός πολιτικής προστασίας της Ένωσης παρέχει εργαλεία για τη στήριξη της Ελλάδας στην πρόληψη των δασικών πυρκαγιών και τη διευκόλυνση της διαχείρισης των δασικών πυρκαγιών</w:t>
      </w:r>
      <w:r>
        <w:rPr>
          <w:rStyle w:val="FootnoteReference"/>
          <w:rFonts w:ascii="Times New Roman" w:hAnsi="Times New Roman" w:cs="Times New Roman"/>
          <w:sz w:val="24"/>
          <w:szCs w:val="24"/>
        </w:rPr>
        <w:footnoteReference w:id="3"/>
      </w:r>
      <w:r>
        <w:rPr>
          <w:rFonts w:ascii="Times New Roman" w:hAnsi="Times New Roman"/>
          <w:sz w:val="24"/>
          <w:szCs w:val="24"/>
        </w:rPr>
        <w:t>. Στηρίζει έργα διακρατικής συνεργασίας για καινοτόμες δράσεις και ορθές πρακτικές όσον αφορά την πρόληψη και την ετοιμότητα για την αντιμετώπιση κινδύνων καταστροφών.</w:t>
      </w:r>
    </w:p>
    <w:p w:rsidR="00F93FE3" w:rsidRPr="00F93FE3" w:rsidRDefault="00F93FE3" w:rsidP="00F93FE3">
      <w:pPr>
        <w:widowControl/>
        <w:spacing w:after="0"/>
        <w:jc w:val="both"/>
        <w:rPr>
          <w:rFonts w:ascii="Times New Roman" w:hAnsi="Times New Roman"/>
          <w:sz w:val="24"/>
          <w:szCs w:val="24"/>
        </w:rPr>
      </w:pPr>
    </w:p>
    <w:p w:rsidR="00236D63" w:rsidRPr="00F93FE3" w:rsidRDefault="00560239" w:rsidP="00F93FE3">
      <w:pPr>
        <w:pStyle w:val="itemList"/>
        <w:tabs>
          <w:tab w:val="clear" w:pos="425"/>
          <w:tab w:val="clear" w:pos="851"/>
          <w:tab w:val="clear" w:pos="1276"/>
        </w:tabs>
        <w:spacing w:after="0"/>
        <w:ind w:left="0" w:firstLine="0"/>
        <w:jc w:val="both"/>
        <w:rPr>
          <w:rFonts w:ascii="Times New Roman" w:hAnsi="Times New Roman"/>
          <w:sz w:val="24"/>
          <w:szCs w:val="24"/>
        </w:rPr>
      </w:pPr>
      <w:r>
        <w:rPr>
          <w:rFonts w:ascii="Times New Roman" w:hAnsi="Times New Roman"/>
          <w:sz w:val="24"/>
          <w:szCs w:val="24"/>
        </w:rPr>
        <w:t>Κατά την περίοδο 2014-2020, διατέθηκαν περίπου 394 εκατ. ευρώ για την προσαρμογή στην κλιματική αλλαγή και την πρόληψη κινδύνων</w:t>
      </w:r>
      <w:r>
        <w:rPr>
          <w:rStyle w:val="FootnoteReference"/>
          <w:rFonts w:ascii="Times New Roman" w:hAnsi="Times New Roman" w:cs="Times New Roman"/>
          <w:sz w:val="24"/>
          <w:szCs w:val="24"/>
        </w:rPr>
        <w:footnoteReference w:id="4"/>
      </w:r>
      <w:r>
        <w:rPr>
          <w:rFonts w:ascii="Times New Roman" w:hAnsi="Times New Roman"/>
          <w:sz w:val="24"/>
          <w:szCs w:val="24"/>
        </w:rPr>
        <w:t>. Για την περίοδο 2021-2027, θεσπίζεται χωριστό πρόγραμμα</w:t>
      </w:r>
      <w:r>
        <w:rPr>
          <w:rStyle w:val="FootnoteReference"/>
          <w:rFonts w:ascii="Times New Roman" w:hAnsi="Times New Roman" w:cs="Times New Roman"/>
          <w:sz w:val="24"/>
          <w:szCs w:val="24"/>
        </w:rPr>
        <w:footnoteReference w:id="5"/>
      </w:r>
      <w:r>
        <w:rPr>
          <w:rFonts w:ascii="Times New Roman" w:hAnsi="Times New Roman"/>
          <w:sz w:val="24"/>
          <w:szCs w:val="24"/>
        </w:rPr>
        <w:t xml:space="preserve"> για την πολιτική προστασία, συνολικού ύψους 713 εκατ. ευρώ. </w:t>
      </w:r>
    </w:p>
    <w:p w:rsidR="00F93FE3" w:rsidRPr="00F93FE3" w:rsidRDefault="00F93FE3" w:rsidP="00F93FE3">
      <w:pPr>
        <w:pStyle w:val="itemList"/>
        <w:tabs>
          <w:tab w:val="clear" w:pos="425"/>
          <w:tab w:val="clear" w:pos="851"/>
          <w:tab w:val="clear" w:pos="1276"/>
        </w:tabs>
        <w:spacing w:after="0"/>
        <w:ind w:left="0" w:firstLine="0"/>
        <w:jc w:val="both"/>
        <w:rPr>
          <w:rFonts w:ascii="Times New Roman" w:hAnsi="Times New Roman"/>
          <w:sz w:val="24"/>
          <w:szCs w:val="24"/>
        </w:rPr>
      </w:pPr>
    </w:p>
    <w:p w:rsidR="008D4D47" w:rsidRPr="00F93FE3" w:rsidRDefault="00560239" w:rsidP="00F93FE3">
      <w:pPr>
        <w:pStyle w:val="itemList"/>
        <w:tabs>
          <w:tab w:val="clear" w:pos="425"/>
          <w:tab w:val="clear" w:pos="851"/>
          <w:tab w:val="clear" w:pos="1276"/>
        </w:tabs>
        <w:spacing w:after="0"/>
        <w:ind w:left="0" w:firstLine="0"/>
        <w:jc w:val="both"/>
        <w:rPr>
          <w:rFonts w:ascii="Times New Roman" w:hAnsi="Times New Roman"/>
          <w:sz w:val="24"/>
          <w:szCs w:val="24"/>
        </w:rPr>
      </w:pPr>
      <w:r>
        <w:rPr>
          <w:rFonts w:ascii="Times New Roman" w:hAnsi="Times New Roman"/>
          <w:sz w:val="24"/>
          <w:szCs w:val="24"/>
        </w:rPr>
        <w:t>Στο πλαίσιο του ελληνικού σχεδίου ανάκαμψης και ανθεκτικότητας, 1,2 δισ. ευρώ διατίθενται για την αντιμετώπιση και τον μετριασμό καταστροφών, τα οποία θα εκταμιευθούν κατά την επίτευξη των οροσήμων και των στόχων που καθορίζονται στην εκτελεστική απόφαση του Συμβουλίου, της 13ης Ιουλίου 2021</w:t>
      </w:r>
      <w:r>
        <w:rPr>
          <w:rStyle w:val="FootnoteReference"/>
          <w:rFonts w:ascii="Times New Roman" w:hAnsi="Times New Roman" w:cs="Times New Roman"/>
          <w:sz w:val="24"/>
          <w:szCs w:val="24"/>
        </w:rPr>
        <w:footnoteReference w:id="6"/>
      </w:r>
      <w:r>
        <w:rPr>
          <w:rFonts w:ascii="Times New Roman" w:hAnsi="Times New Roman"/>
          <w:sz w:val="24"/>
          <w:szCs w:val="24"/>
        </w:rPr>
        <w:t>. Η Επιτροπή μπορεί επίσης να παρέχει τεχνική βοήθεια για την πρόληψη και τη διαχείριση κινδύνων στο πλαίσιο του Μέσου Τεχνικής Υποστήριξης.</w:t>
      </w:r>
    </w:p>
    <w:p w:rsidR="00F93FE3" w:rsidRPr="00F93FE3" w:rsidRDefault="00F93FE3" w:rsidP="00F93FE3">
      <w:pPr>
        <w:pStyle w:val="itemList"/>
        <w:tabs>
          <w:tab w:val="clear" w:pos="425"/>
          <w:tab w:val="clear" w:pos="851"/>
          <w:tab w:val="clear" w:pos="1276"/>
        </w:tabs>
        <w:spacing w:after="0"/>
        <w:ind w:left="0" w:firstLine="0"/>
        <w:jc w:val="both"/>
        <w:rPr>
          <w:rFonts w:ascii="Times New Roman" w:hAnsi="Times New Roman"/>
          <w:sz w:val="24"/>
          <w:szCs w:val="24"/>
        </w:rPr>
      </w:pPr>
    </w:p>
    <w:p w:rsidR="00B27A53" w:rsidRPr="00F93FE3" w:rsidRDefault="00B27A53" w:rsidP="00F93FE3">
      <w:pPr>
        <w:pStyle w:val="itemList"/>
        <w:tabs>
          <w:tab w:val="clear" w:pos="425"/>
          <w:tab w:val="clear" w:pos="851"/>
          <w:tab w:val="clear" w:pos="1276"/>
        </w:tabs>
        <w:spacing w:after="0"/>
        <w:ind w:left="0" w:firstLine="0"/>
        <w:jc w:val="both"/>
        <w:rPr>
          <w:rFonts w:ascii="Times New Roman" w:hAnsi="Times New Roman"/>
          <w:sz w:val="24"/>
          <w:szCs w:val="24"/>
        </w:rPr>
      </w:pPr>
      <w:r>
        <w:rPr>
          <w:rFonts w:ascii="Times New Roman" w:hAnsi="Times New Roman"/>
          <w:sz w:val="24"/>
          <w:szCs w:val="24"/>
        </w:rPr>
        <w:t>Το Ευρωπαϊκό Γεωργικό Ταμείο Αγροτικής Ανάπτυξης</w:t>
      </w:r>
      <w:r>
        <w:rPr>
          <w:rStyle w:val="FootnoteReference"/>
          <w:rFonts w:ascii="Times New Roman" w:hAnsi="Times New Roman" w:cs="Times New Roman"/>
          <w:sz w:val="24"/>
          <w:szCs w:val="24"/>
        </w:rPr>
        <w:footnoteReference w:id="7"/>
      </w:r>
      <w:r>
        <w:rPr>
          <w:rFonts w:ascii="Times New Roman" w:hAnsi="Times New Roman"/>
          <w:sz w:val="24"/>
          <w:szCs w:val="24"/>
        </w:rPr>
        <w:t xml:space="preserve"> στηρίζει επενδύσεις για την ενίσχυση της αποκατάστασης του γεωργικού δυναμικού που έχει πληγεί από φυσικές καταστροφές, δυσμενή κλιματικά φαινόμενα, καταστροφικά συμβάντα, και προληπτικές δράσεις για τη μείωση των συνεπειών τους, καθώς και για την πρόληψη και αποκατάσταση ζημιών στα δάση οι οποίες προκαλούνται από τις πυρκαγιές. Στο τρέχον πρόγραμμα </w:t>
      </w:r>
      <w:r>
        <w:rPr>
          <w:rFonts w:ascii="Times New Roman" w:hAnsi="Times New Roman"/>
          <w:sz w:val="24"/>
          <w:szCs w:val="24"/>
        </w:rPr>
        <w:lastRenderedPageBreak/>
        <w:t>αγροτικής ανάπτυξης</w:t>
      </w:r>
      <w:r>
        <w:rPr>
          <w:rStyle w:val="FootnoteReference"/>
          <w:rFonts w:ascii="Times New Roman" w:hAnsi="Times New Roman" w:cs="Times New Roman"/>
          <w:sz w:val="24"/>
          <w:szCs w:val="24"/>
        </w:rPr>
        <w:footnoteReference w:id="8"/>
      </w:r>
      <w:r>
        <w:rPr>
          <w:rFonts w:ascii="Times New Roman" w:hAnsi="Times New Roman"/>
          <w:sz w:val="24"/>
          <w:szCs w:val="24"/>
        </w:rPr>
        <w:t xml:space="preserve">, η Ελλάδα διέθεσε 139,5 εκατ. ευρώ για την ανάπτυξη των δασών και 20 εκατ. ευρώ για δράσεις πρόληψης ζημιών για απώλειες στον γεωργικό τομέα. </w:t>
      </w:r>
    </w:p>
    <w:p w:rsidR="00F93FE3" w:rsidRPr="00F93FE3" w:rsidRDefault="00F93FE3" w:rsidP="00F93FE3">
      <w:pPr>
        <w:pStyle w:val="itemList"/>
        <w:tabs>
          <w:tab w:val="clear" w:pos="425"/>
          <w:tab w:val="clear" w:pos="851"/>
          <w:tab w:val="clear" w:pos="1276"/>
        </w:tabs>
        <w:spacing w:after="0"/>
        <w:ind w:left="0" w:firstLine="0"/>
        <w:jc w:val="both"/>
        <w:rPr>
          <w:rFonts w:ascii="Times New Roman" w:hAnsi="Times New Roman"/>
          <w:sz w:val="24"/>
          <w:szCs w:val="24"/>
        </w:rPr>
      </w:pPr>
    </w:p>
    <w:sectPr w:rsidR="00F93FE3" w:rsidRPr="00F93FE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2000" w:left="1440" w:header="568" w:footer="5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E88" w:rsidRDefault="00A40E88">
      <w:pPr>
        <w:spacing w:after="0"/>
      </w:pPr>
      <w:r>
        <w:separator/>
      </w:r>
    </w:p>
  </w:endnote>
  <w:endnote w:type="continuationSeparator" w:id="0">
    <w:p w:rsidR="00A40E88" w:rsidRDefault="00A40E88">
      <w:pPr>
        <w:spacing w:after="0"/>
      </w:pPr>
      <w:r>
        <w:continuationSeparator/>
      </w:r>
    </w:p>
  </w:endnote>
  <w:endnote w:type="continuationNotice" w:id="1">
    <w:p w:rsidR="00A40E88" w:rsidRDefault="00A40E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B3B" w:rsidRPr="006F6768" w:rsidRDefault="00655B3B" w:rsidP="006F6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B3B" w:rsidRPr="006F6768" w:rsidRDefault="00655B3B" w:rsidP="006F67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B3B" w:rsidRPr="006F6768" w:rsidRDefault="00655B3B" w:rsidP="006F6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E88" w:rsidRDefault="00A40E88">
      <w:pPr>
        <w:spacing w:after="0"/>
      </w:pPr>
      <w:r>
        <w:separator/>
      </w:r>
    </w:p>
  </w:footnote>
  <w:footnote w:type="continuationSeparator" w:id="0">
    <w:p w:rsidR="00A40E88" w:rsidRDefault="00A40E88">
      <w:pPr>
        <w:spacing w:after="0"/>
      </w:pPr>
      <w:r>
        <w:continuationSeparator/>
      </w:r>
    </w:p>
  </w:footnote>
  <w:footnote w:type="continuationNotice" w:id="1">
    <w:p w:rsidR="00A40E88" w:rsidRDefault="00A40E88">
      <w:pPr>
        <w:spacing w:after="0"/>
      </w:pPr>
    </w:p>
  </w:footnote>
  <w:footnote w:id="2">
    <w:p w:rsidR="00A32819" w:rsidRPr="00F93FE3" w:rsidRDefault="00A32819" w:rsidP="00F93FE3">
      <w:pPr>
        <w:pStyle w:val="FootnoteText"/>
        <w:tabs>
          <w:tab w:val="clear" w:pos="284"/>
        </w:tabs>
        <w:ind w:left="0" w:firstLine="0"/>
        <w:rPr>
          <w:rFonts w:ascii="Times New Roman" w:hAnsi="Times New Roman"/>
          <w:sz w:val="20"/>
        </w:rPr>
      </w:pPr>
      <w:r>
        <w:rPr>
          <w:rStyle w:val="FootnoteReference"/>
          <w:rFonts w:ascii="Times New Roman" w:hAnsi="Times New Roman" w:cs="Times New Roman"/>
          <w:sz w:val="20"/>
        </w:rPr>
        <w:footnoteRef/>
      </w:r>
      <w:r>
        <w:t xml:space="preserve"> </w:t>
      </w:r>
      <w:r>
        <w:rPr>
          <w:rFonts w:ascii="Times New Roman" w:hAnsi="Times New Roman"/>
          <w:sz w:val="20"/>
        </w:rPr>
        <w:t>Στην αίτηση πρέπει να αποδεικνύεται ότι η συνολική άμεση ζημία υπερβαίνει είτε το 0,6 % του ελληνικού ακαθάριστου εθνικού εισοδήματος είτε το 1,5 % του μέσου ακαθάριστου εγχώριου προϊόντος των πληγεισών περιοχών.</w:t>
      </w:r>
    </w:p>
  </w:footnote>
  <w:footnote w:id="3">
    <w:p w:rsidR="00A32819" w:rsidRPr="00F93FE3" w:rsidRDefault="00A32819" w:rsidP="00F93FE3">
      <w:pPr>
        <w:pStyle w:val="FootnoteText"/>
        <w:tabs>
          <w:tab w:val="clear" w:pos="284"/>
        </w:tabs>
        <w:ind w:left="0" w:firstLine="0"/>
        <w:rPr>
          <w:rFonts w:ascii="Times New Roman" w:hAnsi="Times New Roman"/>
          <w:sz w:val="20"/>
        </w:rPr>
      </w:pPr>
      <w:r>
        <w:rPr>
          <w:rStyle w:val="FootnoteReference"/>
          <w:rFonts w:ascii="Times New Roman" w:hAnsi="Times New Roman" w:cs="Times New Roman"/>
          <w:sz w:val="20"/>
        </w:rPr>
        <w:footnoteRef/>
      </w:r>
      <w:r>
        <w:t xml:space="preserve"> </w:t>
      </w:r>
      <w:r>
        <w:rPr>
          <w:rFonts w:ascii="Times New Roman" w:hAnsi="Times New Roman"/>
          <w:sz w:val="20"/>
        </w:rPr>
        <w:t>Για παράδειγμα, εργαλεία παρακολούθησης δασικών πυρκαγιών, συστήματα έγκαιρης προειδοποίησης, συμβουλευτικές αποστολές και προγράμματα αξιολόγησης από ομοτίμους.</w:t>
      </w:r>
    </w:p>
  </w:footnote>
  <w:footnote w:id="4">
    <w:p w:rsidR="00002CAC" w:rsidRPr="00F93FE3" w:rsidRDefault="00002CAC" w:rsidP="00F93FE3">
      <w:pPr>
        <w:pStyle w:val="FootnoteText"/>
        <w:tabs>
          <w:tab w:val="clear" w:pos="284"/>
        </w:tabs>
        <w:ind w:left="0" w:firstLine="0"/>
        <w:rPr>
          <w:rFonts w:ascii="Times New Roman" w:hAnsi="Times New Roman"/>
          <w:sz w:val="20"/>
        </w:rPr>
      </w:pPr>
      <w:r>
        <w:rPr>
          <w:rStyle w:val="FootnoteReference"/>
          <w:rFonts w:ascii="Times New Roman" w:hAnsi="Times New Roman" w:cs="Times New Roman"/>
          <w:sz w:val="20"/>
        </w:rPr>
        <w:footnoteRef/>
      </w:r>
      <w:r>
        <w:t xml:space="preserve"> </w:t>
      </w:r>
      <w:r>
        <w:rPr>
          <w:rFonts w:ascii="Times New Roman" w:hAnsi="Times New Roman"/>
          <w:sz w:val="20"/>
        </w:rPr>
        <w:t>Συμπεριλαμβανομένης της αγοράς πυροσβεστικού εξοπλισμού.</w:t>
      </w:r>
    </w:p>
  </w:footnote>
  <w:footnote w:id="5">
    <w:p w:rsidR="00C34C37" w:rsidRPr="00F93FE3" w:rsidRDefault="00C34C37" w:rsidP="00F93FE3">
      <w:pPr>
        <w:pStyle w:val="FootnoteText"/>
        <w:tabs>
          <w:tab w:val="clear" w:pos="284"/>
        </w:tabs>
        <w:ind w:left="0" w:firstLine="0"/>
        <w:rPr>
          <w:rFonts w:ascii="Times New Roman" w:hAnsi="Times New Roman"/>
          <w:sz w:val="20"/>
        </w:rPr>
      </w:pPr>
      <w:r>
        <w:rPr>
          <w:rStyle w:val="FootnoteReference"/>
          <w:rFonts w:ascii="Times New Roman" w:hAnsi="Times New Roman" w:cs="Times New Roman"/>
          <w:sz w:val="20"/>
        </w:rPr>
        <w:footnoteRef/>
      </w:r>
      <w:r>
        <w:t xml:space="preserve"> </w:t>
      </w:r>
      <w:r>
        <w:rPr>
          <w:rFonts w:ascii="Times New Roman" w:hAnsi="Times New Roman"/>
          <w:sz w:val="20"/>
        </w:rPr>
        <w:t>Το πρόγραμμα θα στηρίξει μέτρα πρόληψης, ετοιμότητας και αντιμετώπισης κινδύνων και καταστροφών, συμπεριλαμβανομένου του εξοπλισμού. Παρόμοιες δράσεις έχουν προγραμματιστεί στο πλαίσιο των 13 περιφερειακών προγραμμάτων.</w:t>
      </w:r>
    </w:p>
  </w:footnote>
  <w:footnote w:id="6">
    <w:p w:rsidR="00AB225D" w:rsidRPr="00BA6CE4" w:rsidRDefault="00AB225D" w:rsidP="00F93FE3">
      <w:pPr>
        <w:pStyle w:val="FootnoteText"/>
        <w:tabs>
          <w:tab w:val="clear" w:pos="284"/>
        </w:tabs>
        <w:ind w:left="0" w:firstLine="0"/>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Σχέδιο ανάκαμψης για την Ευρώπη — Συμβούλιο (europa.eu),</w:t>
      </w:r>
      <w:r>
        <w:rPr>
          <w:rStyle w:val="Hyperlink"/>
          <w:rFonts w:ascii="Times New Roman" w:hAnsi="Times New Roman"/>
          <w:sz w:val="20"/>
        </w:rPr>
        <w:t xml:space="preserve"> </w:t>
      </w:r>
      <w:hyperlink r:id="rId1" w:history="1">
        <w:r w:rsidR="00BA6CE4" w:rsidRPr="00D038E9">
          <w:rPr>
            <w:rStyle w:val="Hyperlink"/>
            <w:rFonts w:ascii="Times New Roman" w:hAnsi="Times New Roman"/>
            <w:sz w:val="20"/>
          </w:rPr>
          <w:t>https://www.consilium.europa.eu/el/policies/eu-recovery-plan/</w:t>
        </w:r>
      </w:hyperlink>
      <w:bookmarkStart w:id="0" w:name="_GoBack"/>
      <w:bookmarkEnd w:id="0"/>
      <w:r w:rsidR="00BA6CE4" w:rsidRPr="00BA6CE4">
        <w:rPr>
          <w:rStyle w:val="Hyperlink"/>
          <w:rFonts w:ascii="Times New Roman" w:hAnsi="Times New Roman"/>
          <w:sz w:val="20"/>
          <w:u w:val="none"/>
        </w:rPr>
        <w:t>.</w:t>
      </w:r>
    </w:p>
  </w:footnote>
  <w:footnote w:id="7">
    <w:p w:rsidR="00B27A53" w:rsidRPr="00F93FE3" w:rsidRDefault="00B27A53" w:rsidP="00F93FE3">
      <w:pPr>
        <w:pStyle w:val="FootnoteText"/>
        <w:tabs>
          <w:tab w:val="clear" w:pos="284"/>
        </w:tabs>
        <w:ind w:left="0" w:firstLine="0"/>
        <w:rPr>
          <w:rFonts w:ascii="Times New Roman" w:hAnsi="Times New Roman"/>
          <w:sz w:val="20"/>
        </w:rPr>
      </w:pPr>
      <w:r>
        <w:rPr>
          <w:rStyle w:val="FootnoteReference"/>
          <w:rFonts w:ascii="Times New Roman" w:hAnsi="Times New Roman" w:cs="Times New Roman"/>
          <w:sz w:val="20"/>
        </w:rPr>
        <w:footnoteRef/>
      </w:r>
      <w:r>
        <w:t xml:space="preserve"> </w:t>
      </w:r>
      <w:r>
        <w:rPr>
          <w:rFonts w:ascii="Times New Roman" w:hAnsi="Times New Roman"/>
          <w:sz w:val="20"/>
        </w:rPr>
        <w:t>Κανονισμός (ΕΕ) αριθ. 1305/2013.</w:t>
      </w:r>
    </w:p>
  </w:footnote>
  <w:footnote w:id="8">
    <w:p w:rsidR="00A32819" w:rsidRPr="00F93FE3" w:rsidRDefault="00A32819" w:rsidP="00F93FE3">
      <w:pPr>
        <w:pStyle w:val="FootnoteText"/>
        <w:tabs>
          <w:tab w:val="clear" w:pos="284"/>
        </w:tabs>
        <w:ind w:left="0" w:firstLine="0"/>
        <w:rPr>
          <w:rFonts w:ascii="Times New Roman" w:hAnsi="Times New Roman"/>
          <w:sz w:val="20"/>
        </w:rPr>
      </w:pPr>
      <w:r>
        <w:rPr>
          <w:rStyle w:val="FootnoteReference"/>
          <w:rFonts w:ascii="Times New Roman" w:hAnsi="Times New Roman" w:cs="Times New Roman"/>
          <w:sz w:val="20"/>
        </w:rPr>
        <w:footnoteRef/>
      </w:r>
      <w:r>
        <w:t xml:space="preserve"> </w:t>
      </w:r>
      <w:r>
        <w:rPr>
          <w:rFonts w:ascii="Times New Roman" w:hAnsi="Times New Roman"/>
          <w:sz w:val="20"/>
        </w:rPr>
        <w:t>Η Ελλάδα προτίθεται να τροποποιήσει το ΠΑΑ 2014-2020, ώστε να ενισχύσει την πρόληψη και την αποκατάσταση του γεωργικού δυναμικού, καθώς και τη δάσωση και τη δημιουργία δασικών εκτάσεων.</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768" w:rsidRDefault="006F67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FAE" w:rsidRDefault="00E65F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768" w:rsidRDefault="006F6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325BE"/>
    <w:multiLevelType w:val="hybridMultilevel"/>
    <w:tmpl w:val="3482A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W_DocType" w:val="NORMAL"/>
  </w:docVars>
  <w:rsids>
    <w:rsidRoot w:val="00A77B3E"/>
    <w:rsid w:val="00002CAC"/>
    <w:rsid w:val="000802BC"/>
    <w:rsid w:val="000A40A2"/>
    <w:rsid w:val="000B11AE"/>
    <w:rsid w:val="001215F7"/>
    <w:rsid w:val="00126436"/>
    <w:rsid w:val="0013106B"/>
    <w:rsid w:val="001B3958"/>
    <w:rsid w:val="002104BE"/>
    <w:rsid w:val="00236D63"/>
    <w:rsid w:val="002B1E2E"/>
    <w:rsid w:val="002F438A"/>
    <w:rsid w:val="00307EAD"/>
    <w:rsid w:val="00320209"/>
    <w:rsid w:val="003B65DB"/>
    <w:rsid w:val="003F24F1"/>
    <w:rsid w:val="00457359"/>
    <w:rsid w:val="00560239"/>
    <w:rsid w:val="00646CF2"/>
    <w:rsid w:val="00651568"/>
    <w:rsid w:val="00655B3B"/>
    <w:rsid w:val="00692C8B"/>
    <w:rsid w:val="006F2A66"/>
    <w:rsid w:val="006F6768"/>
    <w:rsid w:val="007169CD"/>
    <w:rsid w:val="00717F4C"/>
    <w:rsid w:val="00782B48"/>
    <w:rsid w:val="007F4158"/>
    <w:rsid w:val="00895D89"/>
    <w:rsid w:val="008D0E89"/>
    <w:rsid w:val="008D4D47"/>
    <w:rsid w:val="008F7531"/>
    <w:rsid w:val="00912C0E"/>
    <w:rsid w:val="009478F4"/>
    <w:rsid w:val="00A01505"/>
    <w:rsid w:val="00A32819"/>
    <w:rsid w:val="00A40E88"/>
    <w:rsid w:val="00A77B3E"/>
    <w:rsid w:val="00AB225D"/>
    <w:rsid w:val="00B05404"/>
    <w:rsid w:val="00B27A53"/>
    <w:rsid w:val="00BA36B9"/>
    <w:rsid w:val="00BA6CE4"/>
    <w:rsid w:val="00BE529E"/>
    <w:rsid w:val="00C34C37"/>
    <w:rsid w:val="00C81D67"/>
    <w:rsid w:val="00CA2A55"/>
    <w:rsid w:val="00CA5721"/>
    <w:rsid w:val="00CB3C97"/>
    <w:rsid w:val="00D52BC7"/>
    <w:rsid w:val="00D818C6"/>
    <w:rsid w:val="00D940E4"/>
    <w:rsid w:val="00DA0B78"/>
    <w:rsid w:val="00DF5036"/>
    <w:rsid w:val="00E15277"/>
    <w:rsid w:val="00E20CCE"/>
    <w:rsid w:val="00E23390"/>
    <w:rsid w:val="00E65FAE"/>
    <w:rsid w:val="00E81F04"/>
    <w:rsid w:val="00EA1A7A"/>
    <w:rsid w:val="00EB5273"/>
    <w:rsid w:val="00F93FE3"/>
    <w:rsid w:val="00FB61C2"/>
    <w:rsid w:val="00FD0C2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40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left" w:pos="425"/>
        <w:tab w:val="left" w:pos="851"/>
        <w:tab w:val="left" w:pos="1276"/>
      </w:tabs>
      <w:spacing w:after="240"/>
    </w:pPr>
    <w:rPr>
      <w:rFonts w:ascii="Arial" w:hAnsi="Arial"/>
    </w:rPr>
  </w:style>
  <w:style w:type="paragraph" w:styleId="Heading1">
    <w:name w:val="heading 1"/>
    <w:basedOn w:val="Normal"/>
    <w:next w:val="Normal"/>
    <w:link w:val="Heading1Char"/>
    <w:qFormat/>
    <w:rsid w:val="004B331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782D12"/>
    <w:rPr>
      <w:rFonts w:ascii="Arial" w:hAnsi="Arial" w:cs="Arial"/>
      <w:b w:val="0"/>
      <w:i w:val="0"/>
      <w:caps w:val="0"/>
      <w:smallCaps w:val="0"/>
      <w:strike w:val="0"/>
      <w:dstrike w:val="0"/>
      <w:vanish w:val="0"/>
      <w:color w:val="auto"/>
      <w:spacing w:val="0"/>
      <w:w w:val="100"/>
      <w:kern w:val="0"/>
      <w:position w:val="0"/>
      <w:sz w:val="18"/>
      <w:u w:val="none"/>
      <w:effect w:val="none"/>
      <w:vertAlign w:val="superscript"/>
    </w:rPr>
  </w:style>
  <w:style w:type="paragraph" w:styleId="Header">
    <w:name w:val="header"/>
    <w:basedOn w:val="Normal"/>
    <w:pPr>
      <w:tabs>
        <w:tab w:val="center" w:pos="4153"/>
        <w:tab w:val="right" w:pos="8306"/>
      </w:tabs>
    </w:pPr>
  </w:style>
  <w:style w:type="paragraph" w:styleId="Footer">
    <w:name w:val="footer"/>
    <w:basedOn w:val="Normal"/>
    <w:rsid w:val="00F816F6"/>
    <w:pPr>
      <w:tabs>
        <w:tab w:val="clear" w:pos="425"/>
        <w:tab w:val="clear" w:pos="851"/>
        <w:tab w:val="clear" w:pos="1276"/>
        <w:tab w:val="center" w:pos="4536"/>
        <w:tab w:val="right" w:pos="9072"/>
      </w:tabs>
      <w:spacing w:before="240"/>
    </w:pPr>
    <w:rPr>
      <w:snapToGrid w:val="0"/>
      <w:sz w:val="22"/>
    </w:rPr>
  </w:style>
  <w:style w:type="character" w:styleId="PageNumber">
    <w:name w:val="page number"/>
    <w:basedOn w:val="DefaultParagraphFont"/>
  </w:style>
  <w:style w:type="paragraph" w:styleId="FootnoteText">
    <w:name w:val="footnote text"/>
    <w:link w:val="FootnoteTextChar"/>
    <w:uiPriority w:val="99"/>
    <w:semiHidden/>
    <w:rsid w:val="003D124A"/>
    <w:pPr>
      <w:tabs>
        <w:tab w:val="left" w:pos="284"/>
      </w:tabs>
      <w:ind w:left="284" w:hanging="284"/>
    </w:pPr>
    <w:rPr>
      <w:rFonts w:ascii="Arial" w:hAnsi="Arial"/>
      <w:sz w:val="18"/>
    </w:rPr>
  </w:style>
  <w:style w:type="paragraph" w:styleId="BalloonText">
    <w:name w:val="Balloon Text"/>
    <w:basedOn w:val="Normal"/>
    <w:semiHidden/>
    <w:rsid w:val="00CD005F"/>
    <w:rPr>
      <w:rFonts w:ascii="Tahoma" w:hAnsi="Tahoma" w:cs="Tahoma"/>
      <w:sz w:val="16"/>
      <w:szCs w:val="16"/>
    </w:rPr>
  </w:style>
  <w:style w:type="character" w:customStyle="1" w:styleId="Bold">
    <w:name w:val="Bold"/>
    <w:basedOn w:val="DefaultParagraphFont"/>
    <w:uiPriority w:val="1"/>
    <w:qFormat/>
    <w:rsid w:val="00344A81"/>
    <w:rPr>
      <w:rFonts w:ascii="Arial" w:hAnsi="Arial"/>
      <w:b/>
      <w:sz w:val="20"/>
    </w:rPr>
  </w:style>
  <w:style w:type="character" w:customStyle="1" w:styleId="Heading1Char">
    <w:name w:val="Heading 1 Char"/>
    <w:basedOn w:val="DefaultParagraphFont"/>
    <w:link w:val="Heading1"/>
    <w:rsid w:val="004B3311"/>
    <w:rPr>
      <w:rFonts w:asciiTheme="majorHAnsi" w:eastAsiaTheme="majorEastAsia" w:hAnsiTheme="majorHAnsi" w:cstheme="majorBidi"/>
      <w:b/>
      <w:bCs/>
      <w:snapToGrid w:val="0"/>
      <w:color w:val="2E74B5" w:themeColor="accent1" w:themeShade="BF"/>
      <w:sz w:val="28"/>
      <w:szCs w:val="28"/>
      <w:lang w:eastAsia="en-US"/>
    </w:rPr>
  </w:style>
  <w:style w:type="paragraph" w:customStyle="1" w:styleId="Arial10">
    <w:name w:val="Arial10"/>
    <w:qFormat/>
    <w:rsid w:val="003A12E2"/>
    <w:rPr>
      <w:rFonts w:ascii="Arial" w:hAnsi="Arial"/>
    </w:rPr>
  </w:style>
  <w:style w:type="character" w:styleId="Hyperlink">
    <w:name w:val="Hyperlink"/>
    <w:basedOn w:val="DefaultParagraphFont"/>
    <w:uiPriority w:val="99"/>
    <w:unhideWhenUsed/>
    <w:rsid w:val="008E6344"/>
    <w:rPr>
      <w:color w:val="0000FF"/>
      <w:u w:val="single"/>
    </w:rPr>
  </w:style>
  <w:style w:type="paragraph" w:customStyle="1" w:styleId="Arial10After10">
    <w:name w:val="Arial10After10"/>
    <w:basedOn w:val="Arial10"/>
    <w:qFormat/>
    <w:rsid w:val="008E6344"/>
    <w:pPr>
      <w:spacing w:after="200"/>
    </w:pPr>
  </w:style>
  <w:style w:type="paragraph" w:customStyle="1" w:styleId="Subject">
    <w:name w:val="Subject"/>
    <w:basedOn w:val="Arial10"/>
    <w:qFormat/>
    <w:rsid w:val="00E275FC"/>
    <w:pPr>
      <w:tabs>
        <w:tab w:val="left" w:pos="1134"/>
      </w:tabs>
      <w:spacing w:after="240"/>
      <w:ind w:left="1134" w:hanging="1134"/>
    </w:pPr>
  </w:style>
  <w:style w:type="paragraph" w:customStyle="1" w:styleId="Body">
    <w:name w:val="Body"/>
    <w:qFormat/>
    <w:rsid w:val="006822FA"/>
    <w:pPr>
      <w:tabs>
        <w:tab w:val="left" w:pos="425"/>
        <w:tab w:val="left" w:pos="851"/>
        <w:tab w:val="left" w:pos="1276"/>
      </w:tabs>
      <w:spacing w:after="240"/>
    </w:pPr>
    <w:rPr>
      <w:rFonts w:ascii="Arial" w:hAnsi="Arial"/>
    </w:rPr>
  </w:style>
  <w:style w:type="paragraph" w:customStyle="1" w:styleId="LeftHanging">
    <w:name w:val="LeftHanging"/>
    <w:qFormat/>
    <w:rsid w:val="00BD0F1F"/>
    <w:pPr>
      <w:spacing w:before="240"/>
      <w:ind w:left="425" w:hanging="425"/>
    </w:pPr>
    <w:rPr>
      <w:rFonts w:ascii="Arial" w:hAnsi="Arial"/>
    </w:rPr>
  </w:style>
  <w:style w:type="paragraph" w:customStyle="1" w:styleId="LeftHangingAfter">
    <w:name w:val="LeftHangingAfter"/>
    <w:basedOn w:val="LeftHanging"/>
    <w:qFormat/>
    <w:rsid w:val="00AB7C55"/>
    <w:pPr>
      <w:spacing w:before="0"/>
    </w:pPr>
  </w:style>
  <w:style w:type="paragraph" w:customStyle="1" w:styleId="itemList">
    <w:name w:val="itemList"/>
    <w:qFormat/>
    <w:rsid w:val="005024D7"/>
    <w:pPr>
      <w:tabs>
        <w:tab w:val="left" w:pos="425"/>
        <w:tab w:val="left" w:pos="851"/>
        <w:tab w:val="left" w:pos="1276"/>
      </w:tabs>
      <w:spacing w:after="240"/>
      <w:ind w:left="425" w:hanging="425"/>
    </w:pPr>
    <w:rPr>
      <w:rFonts w:ascii="Arial" w:hAnsi="Arial"/>
    </w:rPr>
  </w:style>
  <w:style w:type="paragraph" w:customStyle="1" w:styleId="Supporter">
    <w:name w:val="Supporter"/>
    <w:basedOn w:val="Body"/>
    <w:qFormat/>
    <w:rsid w:val="00CD50AF"/>
    <w:pPr>
      <w:spacing w:before="840"/>
    </w:pPr>
  </w:style>
  <w:style w:type="paragraph" w:customStyle="1" w:styleId="Footer2">
    <w:name w:val="Footer2"/>
    <w:basedOn w:val="Normal"/>
    <w:link w:val="Footer2Char"/>
    <w:qFormat/>
    <w:rsid w:val="000B4A67"/>
    <w:pPr>
      <w:tabs>
        <w:tab w:val="clear" w:pos="425"/>
        <w:tab w:val="clear" w:pos="851"/>
        <w:tab w:val="clear" w:pos="1276"/>
        <w:tab w:val="center" w:pos="4536"/>
        <w:tab w:val="right" w:pos="9923"/>
      </w:tabs>
      <w:ind w:left="-851" w:right="-851"/>
    </w:pPr>
    <w:rPr>
      <w:sz w:val="48"/>
    </w:rPr>
  </w:style>
  <w:style w:type="character" w:customStyle="1" w:styleId="Footer2Lang">
    <w:name w:val="Footer2Lang"/>
    <w:uiPriority w:val="1"/>
    <w:qFormat/>
    <w:rsid w:val="000B4A67"/>
    <w:rPr>
      <w:rFonts w:ascii="Arial" w:hAnsi="Arial"/>
      <w:b/>
      <w:sz w:val="48"/>
    </w:rPr>
  </w:style>
  <w:style w:type="character" w:customStyle="1" w:styleId="Footer2Char">
    <w:name w:val="Footer2 Char"/>
    <w:basedOn w:val="DefaultParagraphFont"/>
    <w:link w:val="Footer2"/>
    <w:rsid w:val="000B4A67"/>
    <w:rPr>
      <w:rFonts w:ascii="Arial" w:hAnsi="Arial"/>
      <w:sz w:val="48"/>
    </w:rPr>
  </w:style>
  <w:style w:type="character" w:customStyle="1" w:styleId="Footer2Middle">
    <w:name w:val="Footer2Middle"/>
    <w:uiPriority w:val="1"/>
    <w:qFormat/>
    <w:rsid w:val="000B4A67"/>
    <w:rPr>
      <w:rFonts w:ascii="Arial" w:hAnsi="Arial"/>
      <w:i/>
      <w:color w:val="BFBFBF" w:themeColor="background1" w:themeShade="BF"/>
      <w:sz w:val="22"/>
    </w:rPr>
  </w:style>
  <w:style w:type="paragraph" w:customStyle="1" w:styleId="SessionDocument">
    <w:name w:val="SessionDocument"/>
    <w:qFormat/>
    <w:rsid w:val="00F63011"/>
    <w:pPr>
      <w:jc w:val="center"/>
    </w:pPr>
    <w:rPr>
      <w:rFonts w:ascii="Arial" w:hAnsi="Arial"/>
      <w:i/>
      <w:sz w:val="22"/>
    </w:rPr>
  </w:style>
  <w:style w:type="paragraph" w:customStyle="1" w:styleId="LineBottom">
    <w:name w:val="LineBottom"/>
    <w:qFormat/>
    <w:rsid w:val="00C01FA6"/>
    <w:pPr>
      <w:pBdr>
        <w:bottom w:val="single" w:sz="4" w:space="1" w:color="auto"/>
      </w:pBdr>
      <w:spacing w:after="1080"/>
      <w:jc w:val="center"/>
    </w:pPr>
    <w:rPr>
      <w:rFonts w:ascii="Arial" w:hAnsi="Arial"/>
      <w:sz w:val="16"/>
    </w:rPr>
  </w:style>
  <w:style w:type="paragraph" w:customStyle="1" w:styleId="LineTop">
    <w:name w:val="LineTop"/>
    <w:next w:val="SessionDocument"/>
    <w:qFormat/>
    <w:rsid w:val="00884286"/>
    <w:pPr>
      <w:pBdr>
        <w:top w:val="single" w:sz="4" w:space="1" w:color="auto"/>
      </w:pBdr>
    </w:pPr>
    <w:rPr>
      <w:rFonts w:ascii="Arial" w:hAnsi="Arial"/>
      <w:sz w:val="16"/>
    </w:rPr>
  </w:style>
  <w:style w:type="paragraph" w:customStyle="1" w:styleId="EPLogo">
    <w:name w:val="EPLogo"/>
    <w:basedOn w:val="Normal"/>
    <w:qFormat/>
    <w:rsid w:val="00A05278"/>
    <w:pPr>
      <w:jc w:val="right"/>
    </w:pPr>
  </w:style>
  <w:style w:type="paragraph" w:customStyle="1" w:styleId="EPName">
    <w:name w:val="EPName"/>
    <w:basedOn w:val="Normal"/>
    <w:qFormat/>
    <w:rsid w:val="00475435"/>
    <w:pPr>
      <w:spacing w:before="80" w:after="80"/>
    </w:pPr>
    <w:rPr>
      <w:rFonts w:ascii="Arial Narrow" w:hAnsi="Arial Narrow"/>
      <w:b/>
      <w:color w:val="000000" w:themeColor="text1"/>
      <w:sz w:val="32"/>
    </w:rPr>
  </w:style>
  <w:style w:type="paragraph" w:customStyle="1" w:styleId="EPTerm">
    <w:name w:val="EPTerm"/>
    <w:basedOn w:val="Normal"/>
    <w:next w:val="Normal"/>
    <w:qFormat/>
    <w:rsid w:val="00475435"/>
    <w:pPr>
      <w:spacing w:after="80"/>
    </w:pPr>
  </w:style>
  <w:style w:type="paragraph" w:customStyle="1" w:styleId="Arial10Date">
    <w:name w:val="Arial10Date"/>
    <w:basedOn w:val="Arial10"/>
    <w:qFormat/>
    <w:rsid w:val="00E258AE"/>
    <w:pPr>
      <w:tabs>
        <w:tab w:val="left" w:pos="0"/>
        <w:tab w:val="right" w:pos="9072"/>
      </w:tabs>
      <w:spacing w:after="400"/>
    </w:pPr>
  </w:style>
  <w:style w:type="character" w:customStyle="1" w:styleId="HideTWBExt">
    <w:name w:val="HideTWBExt"/>
    <w:uiPriority w:val="1"/>
    <w:qFormat/>
    <w:rsid w:val="00DC6131"/>
    <w:rPr>
      <w:rFonts w:ascii="Arial" w:hAnsi="Arial"/>
      <w:vanish/>
      <w:color w:val="44546A" w:themeColor="text2"/>
      <w:sz w:val="20"/>
    </w:rPr>
  </w:style>
  <w:style w:type="character" w:customStyle="1" w:styleId="Italic">
    <w:name w:val="Italic"/>
    <w:uiPriority w:val="1"/>
    <w:qFormat/>
    <w:rsid w:val="00644428"/>
    <w:rPr>
      <w:i/>
    </w:rPr>
  </w:style>
  <w:style w:type="character" w:customStyle="1" w:styleId="Sub">
    <w:name w:val="Sub"/>
    <w:uiPriority w:val="1"/>
    <w:qFormat/>
    <w:rsid w:val="00776240"/>
    <w:rPr>
      <w:vertAlign w:val="subscript"/>
    </w:rPr>
  </w:style>
  <w:style w:type="character" w:customStyle="1" w:styleId="Sup">
    <w:name w:val="Sup"/>
    <w:uiPriority w:val="1"/>
    <w:qFormat/>
    <w:rsid w:val="00776240"/>
    <w:rPr>
      <w:vertAlign w:val="superscript"/>
    </w:rPr>
  </w:style>
  <w:style w:type="character" w:customStyle="1" w:styleId="ItalicSub">
    <w:name w:val="ItalicSub"/>
    <w:uiPriority w:val="1"/>
    <w:qFormat/>
    <w:rsid w:val="00776240"/>
    <w:rPr>
      <w:i/>
      <w:vertAlign w:val="subscript"/>
    </w:rPr>
  </w:style>
  <w:style w:type="character" w:customStyle="1" w:styleId="ItalicSup">
    <w:name w:val="ItalicSup"/>
    <w:uiPriority w:val="1"/>
    <w:qFormat/>
    <w:rsid w:val="00776240"/>
    <w:rPr>
      <w:i/>
      <w:vertAlign w:val="superscript"/>
    </w:rPr>
  </w:style>
  <w:style w:type="character" w:customStyle="1" w:styleId="FootnoteTextChar">
    <w:name w:val="Footnote Text Char"/>
    <w:basedOn w:val="DefaultParagraphFont"/>
    <w:link w:val="FootnoteText"/>
    <w:uiPriority w:val="99"/>
    <w:semiHidden/>
    <w:rsid w:val="00B27A53"/>
    <w:rPr>
      <w:rFonts w:ascii="Arial" w:hAnsi="Arial"/>
      <w:sz w:val="18"/>
    </w:rPr>
  </w:style>
  <w:style w:type="character" w:styleId="CommentReference">
    <w:name w:val="annotation reference"/>
    <w:basedOn w:val="DefaultParagraphFont"/>
    <w:semiHidden/>
    <w:unhideWhenUsed/>
    <w:rsid w:val="00692C8B"/>
    <w:rPr>
      <w:sz w:val="16"/>
      <w:szCs w:val="16"/>
    </w:rPr>
  </w:style>
  <w:style w:type="paragraph" w:styleId="CommentText">
    <w:name w:val="annotation text"/>
    <w:basedOn w:val="Normal"/>
    <w:link w:val="CommentTextChar"/>
    <w:semiHidden/>
    <w:unhideWhenUsed/>
    <w:rsid w:val="00692C8B"/>
  </w:style>
  <w:style w:type="character" w:customStyle="1" w:styleId="CommentTextChar">
    <w:name w:val="Comment Text Char"/>
    <w:basedOn w:val="DefaultParagraphFont"/>
    <w:link w:val="CommentText"/>
    <w:semiHidden/>
    <w:rsid w:val="00692C8B"/>
    <w:rPr>
      <w:rFonts w:ascii="Arial" w:hAnsi="Arial"/>
    </w:rPr>
  </w:style>
  <w:style w:type="paragraph" w:styleId="CommentSubject">
    <w:name w:val="annotation subject"/>
    <w:basedOn w:val="CommentText"/>
    <w:next w:val="CommentText"/>
    <w:link w:val="CommentSubjectChar"/>
    <w:semiHidden/>
    <w:unhideWhenUsed/>
    <w:rsid w:val="00692C8B"/>
    <w:rPr>
      <w:b/>
      <w:bCs/>
    </w:rPr>
  </w:style>
  <w:style w:type="character" w:customStyle="1" w:styleId="CommentSubjectChar">
    <w:name w:val="Comment Subject Char"/>
    <w:basedOn w:val="CommentTextChar"/>
    <w:link w:val="CommentSubject"/>
    <w:semiHidden/>
    <w:rsid w:val="00692C8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footnotes.xml.rels><?xml version="1.0" encoding="UTF-8" standalone="yes"?>
<Relationships xmlns="http://schemas.openxmlformats.org/package/2006/relationships">
<Relationship Id="rId1" Target="https://www.consilium.europa.eu/el/policies/eu-recovery-plan/"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A6D84-CEC2-4BB2-B138-4C28566A7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1673</Characters>
  <Application>Microsoft Office Word</Application>
  <DocSecurity>0</DocSecurity>
  <Lines>36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2021-11-16T16:01:00Z</dcterms:created>
  <dcterms:modified xsi:type="dcterms:W3CDTF">2021-11-22T17:12:00Z</dcterms:modified>
  <cp:revision>1</cp:revision>
</cp:coreProperties>
</file>