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DF" w:rsidRPr="000D6906" w:rsidRDefault="00906BDF" w:rsidP="00906BD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100580" cy="972185"/>
            <wp:effectExtent l="19050" t="0" r="0" b="0"/>
            <wp:docPr id="1" name="Εικόνα 1" descr="C:\Users\USER\Desktop\ΣΥΡΙΖΑ ΝΕΟ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ΣΥΡΙΖΑ ΝΕΟ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7843" b="2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BDF" w:rsidRPr="004C4776" w:rsidRDefault="00D4428F" w:rsidP="00906BDF">
      <w:pPr>
        <w:pStyle w:val="a3"/>
        <w:jc w:val="right"/>
        <w:rPr>
          <w:b/>
        </w:rPr>
      </w:pPr>
      <w:r>
        <w:rPr>
          <w:b/>
        </w:rPr>
        <w:t>Αθήνα,</w:t>
      </w:r>
      <w:r w:rsidR="004C4776" w:rsidRPr="004C4776">
        <w:rPr>
          <w:b/>
        </w:rPr>
        <w:t xml:space="preserve"> </w:t>
      </w:r>
      <w:r w:rsidR="00F821AB">
        <w:rPr>
          <w:b/>
        </w:rPr>
        <w:t>23</w:t>
      </w:r>
      <w:r>
        <w:rPr>
          <w:b/>
        </w:rPr>
        <w:t xml:space="preserve"> </w:t>
      </w:r>
      <w:r w:rsidR="00AE3063">
        <w:rPr>
          <w:b/>
        </w:rPr>
        <w:t xml:space="preserve">Νοεμβρίου </w:t>
      </w:r>
      <w:r w:rsidR="004C4776">
        <w:rPr>
          <w:b/>
        </w:rPr>
        <w:t>202</w:t>
      </w:r>
      <w:r w:rsidR="004C4776" w:rsidRPr="004C4776">
        <w:rPr>
          <w:b/>
        </w:rPr>
        <w:t>2</w:t>
      </w:r>
    </w:p>
    <w:p w:rsidR="003C2368" w:rsidRDefault="003C2368" w:rsidP="003C2368">
      <w:pPr>
        <w:pStyle w:val="a3"/>
        <w:jc w:val="center"/>
        <w:rPr>
          <w:b/>
        </w:rPr>
      </w:pPr>
    </w:p>
    <w:p w:rsidR="003C2368" w:rsidRPr="004C4776" w:rsidRDefault="004C4776" w:rsidP="00B57F7F">
      <w:pPr>
        <w:pStyle w:val="a3"/>
        <w:spacing w:before="120" w:after="120"/>
        <w:jc w:val="center"/>
        <w:rPr>
          <w:b/>
          <w:u w:val="single"/>
        </w:rPr>
      </w:pPr>
      <w:r w:rsidRPr="004C4776">
        <w:rPr>
          <w:b/>
          <w:u w:val="single"/>
        </w:rPr>
        <w:t>ΕΡΩΤΗΣΗ</w:t>
      </w:r>
    </w:p>
    <w:p w:rsidR="003C2368" w:rsidRPr="00D23B67" w:rsidRDefault="003C2368" w:rsidP="00B57F7F">
      <w:pPr>
        <w:pStyle w:val="a3"/>
        <w:spacing w:before="120" w:after="120"/>
        <w:jc w:val="center"/>
        <w:rPr>
          <w:b/>
        </w:rPr>
      </w:pPr>
      <w:r>
        <w:rPr>
          <w:b/>
        </w:rPr>
        <w:t>Προς τ</w:t>
      </w:r>
      <w:r w:rsidR="00D4428F">
        <w:rPr>
          <w:b/>
        </w:rPr>
        <w:t>ον Υπουργό</w:t>
      </w:r>
      <w:r w:rsidR="00AE3063">
        <w:rPr>
          <w:b/>
        </w:rPr>
        <w:t xml:space="preserve"> Αγροτικής Ανάπτυξης και Τροφίμων</w:t>
      </w:r>
    </w:p>
    <w:p w:rsidR="002F06AC" w:rsidRPr="00F41F3F" w:rsidRDefault="002F06AC" w:rsidP="002F06AC">
      <w:pPr>
        <w:pStyle w:val="a3"/>
        <w:rPr>
          <w:b/>
        </w:rPr>
      </w:pPr>
    </w:p>
    <w:p w:rsidR="002F06AC" w:rsidRPr="002F06AC" w:rsidRDefault="002F06AC" w:rsidP="002F06AC">
      <w:pPr>
        <w:pStyle w:val="a3"/>
        <w:jc w:val="center"/>
        <w:rPr>
          <w:b/>
        </w:rPr>
      </w:pPr>
      <w:r w:rsidRPr="002F06AC">
        <w:rPr>
          <w:b/>
        </w:rPr>
        <w:t>Θέμα: Μείωση του ποσοστού ενίσχυσης από το Ταμε</w:t>
      </w:r>
      <w:r>
        <w:rPr>
          <w:b/>
        </w:rPr>
        <w:t>ίο Ανάκαμψης και Ανθεκτικότητας</w:t>
      </w:r>
    </w:p>
    <w:p w:rsidR="002F06AC" w:rsidRPr="002F06AC" w:rsidRDefault="002F06AC" w:rsidP="002F06AC">
      <w:pPr>
        <w:pStyle w:val="a3"/>
        <w:jc w:val="center"/>
        <w:rPr>
          <w:b/>
        </w:rPr>
      </w:pPr>
      <w:r w:rsidRPr="002F06AC">
        <w:rPr>
          <w:b/>
        </w:rPr>
        <w:t>για το υποέργο 5 «Γενετική βελτίωση ζώων»</w:t>
      </w:r>
    </w:p>
    <w:p w:rsidR="002F06AC" w:rsidRPr="002F06AC" w:rsidRDefault="002F06AC" w:rsidP="002F06AC">
      <w:pPr>
        <w:pStyle w:val="a3"/>
        <w:jc w:val="right"/>
        <w:rPr>
          <w:b/>
        </w:rPr>
      </w:pPr>
    </w:p>
    <w:p w:rsidR="002F06AC" w:rsidRPr="002F06AC" w:rsidRDefault="002F06AC" w:rsidP="002F06AC">
      <w:pPr>
        <w:pStyle w:val="a3"/>
        <w:jc w:val="both"/>
      </w:pPr>
      <w:r w:rsidRPr="002F06AC">
        <w:t xml:space="preserve">Η Γενική Γραμματεία Αγροτικής Πολιτικής και Διεθνών Σχέσεων, ως Φορέας Υλοποίησης δράσεων που χρηματοδοτούνται από το Ταμείο Ανάκαμψης και Ανθεκτικότητας (ΤΑΑ) Ελλάδα 2.0, εξέδωσε την Υπουργική Απόφαση Α.Π.: 165/7-04-2022, με την οποία προσκαλεί τους δυνητικά δικαιούχους για την υποβολή αιτήσεων στο υποέργο 5 «Γενετική βελτίωση ζώων». 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t>Η πρόσκληση ακολουθεί τον Κανονισμό ΕΕ 702/2014 της Επιτροπής, στον οποίο ρητά αναφέρονται τα ακόλουθα: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numPr>
          <w:ilvl w:val="0"/>
          <w:numId w:val="9"/>
        </w:numPr>
        <w:jc w:val="both"/>
      </w:pPr>
      <w:r w:rsidRPr="002F06AC">
        <w:t>Άρθρο 21 «Ενισχύσεις για δράσεις μεταφοράς γνώσεων και ενημέρωσης» σημείο 8: η ένταση ενίσχυσης  περιορίζεται στο 100% των επιλέξιμων δαπανών</w:t>
      </w:r>
    </w:p>
    <w:p w:rsidR="002F06AC" w:rsidRPr="002F06AC" w:rsidRDefault="002F06AC" w:rsidP="002F06AC">
      <w:pPr>
        <w:pStyle w:val="a3"/>
        <w:numPr>
          <w:ilvl w:val="0"/>
          <w:numId w:val="9"/>
        </w:numPr>
        <w:jc w:val="both"/>
      </w:pPr>
      <w:r w:rsidRPr="002F06AC">
        <w:t>Άρθρο 24 «Ενισχύσεις για μέτρα προώθησης των γεωργικών προϊόντων» σημείο 8: η ένταση ενίσχυσης  περιορίζεται στο 100% των επιλέξιμων δαπανών</w:t>
      </w:r>
    </w:p>
    <w:p w:rsidR="002F06AC" w:rsidRPr="002F06AC" w:rsidRDefault="002F06AC" w:rsidP="002F06AC">
      <w:pPr>
        <w:pStyle w:val="a3"/>
        <w:numPr>
          <w:ilvl w:val="0"/>
          <w:numId w:val="9"/>
        </w:numPr>
        <w:jc w:val="both"/>
      </w:pPr>
      <w:r w:rsidRPr="002F06AC">
        <w:t>Άρθρο 27 «Ενισχύσεις στον κτηνοτροφικό τομέα και ενισχύσεις για νεκρά ζώα» α) ενίσχυση σε ποσοστό μέχρι 100% του διοικητικού κόστους για τη δημιουργία και τήρηση γενεαλογικών μητρώων ζώων και β) ενίσχυση σε ποσοστό μέχρι 70% του κόστους των δοκιμών που διενεργούνται από τρίτους ή για  λογαριασμό τους με σκοπό τον προσδιορισμός της γενετικής ποιότητας ή της απόδοσης του ζωικού κεφαλαίου με εξαίρεση τους ελέγχους που διενεργεί ο ιδιοκτήτης του ζωικού κεφαλαίου και τους συνήθεις ελέγχους ποιότητας του γάλακτος</w:t>
      </w:r>
    </w:p>
    <w:p w:rsidR="002F06AC" w:rsidRPr="002F06AC" w:rsidRDefault="002F06AC" w:rsidP="002F06AC">
      <w:pPr>
        <w:pStyle w:val="a3"/>
        <w:numPr>
          <w:ilvl w:val="0"/>
          <w:numId w:val="9"/>
        </w:numPr>
        <w:jc w:val="both"/>
      </w:pPr>
      <w:r w:rsidRPr="002F06AC">
        <w:t>Άρθρο 31 «Ενισχύσεις για έρευνα και ανάπτυξη στους τομείς της γεωργίας και της δασοκομίας» σημείο 7: η ένταση ενίσχυσης περιορίζεται στο 100% των επιλέξιμων δαπανών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t>Ταυτόχρονα, όμως, στην πρόσκληση και συγκεκριμένα στην παράγραφο 4.3 «Ένταση Ενίσχυσης», αναφέρεται ότι η ένταση ενίσχυσης (ποσοστά ενίσχυσης) ανά κατηγορία ενισχύσεων διαμορφώνεται ως εξής: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  <w:rPr>
          <w:i/>
        </w:rPr>
      </w:pPr>
      <w:r w:rsidRPr="002F06AC">
        <w:rPr>
          <w:i/>
        </w:rPr>
        <w:t xml:space="preserve">α) Ενισχύσεις για δράσεις μεταφοράς γνώσεων και ενημέρωσης (άρθρο 21, του Καν. 702/2014): 80% </w:t>
      </w:r>
    </w:p>
    <w:p w:rsidR="002F06AC" w:rsidRPr="002F06AC" w:rsidRDefault="002F06AC" w:rsidP="002F06AC">
      <w:pPr>
        <w:pStyle w:val="a3"/>
        <w:jc w:val="both"/>
        <w:rPr>
          <w:i/>
        </w:rPr>
      </w:pPr>
      <w:r w:rsidRPr="002F06AC">
        <w:rPr>
          <w:i/>
        </w:rPr>
        <w:t xml:space="preserve">β) Ενισχύσεις για μέτρα προώθησης γεωργικών προϊόντων (άρθρο 24, του Καν. 702/2014): 80% </w:t>
      </w:r>
    </w:p>
    <w:p w:rsidR="002F06AC" w:rsidRPr="002F06AC" w:rsidRDefault="002F06AC" w:rsidP="002F06AC">
      <w:pPr>
        <w:pStyle w:val="a3"/>
        <w:jc w:val="both"/>
        <w:rPr>
          <w:i/>
        </w:rPr>
      </w:pPr>
      <w:r w:rsidRPr="002F06AC">
        <w:rPr>
          <w:i/>
        </w:rPr>
        <w:t xml:space="preserve">γ) Ενισχύσεις στον κτηνοτροφικό τομέα και ενισχύσεις για νεκρά ζώα (άρθρο 27, του Καν. 702/2014): 80% του διοικητικού κόστους για τη δημιουργία και τήρηση γενεαλογικών βιβλίων και μητρώων και 70% για δαπάνες που αφορούν σε ελέγχους αποδόσεων. Εφόσον η ίδια δαπάνη χρησιμοποιείται και για τα γενεαλογικά βιβλία και για τους ελέγχους αποδόσεων το ποσοστό ενίσχυσης είναι 80% </w:t>
      </w:r>
    </w:p>
    <w:p w:rsidR="002F06AC" w:rsidRPr="002F06AC" w:rsidRDefault="002F06AC" w:rsidP="002F06AC">
      <w:pPr>
        <w:pStyle w:val="a3"/>
        <w:jc w:val="both"/>
        <w:rPr>
          <w:i/>
        </w:rPr>
      </w:pPr>
      <w:r w:rsidRPr="002F06AC">
        <w:rPr>
          <w:i/>
        </w:rPr>
        <w:t>δ) Ενισχύσεις για έρευνα και ανάπτυξη στους τομείς της γεωργίας (άρθρο 31 του Καν. 702/2014): 80%.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t xml:space="preserve">Παράλληλα, στο ενοποιημένο κείμενο της πρόσκλησης αναφέρεται: 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t xml:space="preserve">1. Για τις υφιστάμενες επιχειρήσεις, ότι η </w:t>
      </w:r>
      <w:r w:rsidRPr="002F06AC">
        <w:rPr>
          <w:i/>
        </w:rPr>
        <w:t xml:space="preserve">«ιδιωτική συμμετοχή που αποτελείται από την ιδία συμμετοχή ή/και την εξωτερική χρηματοδότηση, κατά </w:t>
      </w:r>
      <w:proofErr w:type="spellStart"/>
      <w:r w:rsidRPr="002F06AC">
        <w:rPr>
          <w:i/>
        </w:rPr>
        <w:t>μόνας</w:t>
      </w:r>
      <w:proofErr w:type="spellEnd"/>
      <w:r w:rsidRPr="002F06AC">
        <w:rPr>
          <w:i/>
        </w:rPr>
        <w:t xml:space="preserve"> και συνδυαστικά»</w:t>
      </w:r>
      <w:r w:rsidRPr="002F06AC">
        <w:t xml:space="preserve">, τεκμηριώνεται μεταξύ άλλων </w:t>
      </w:r>
      <w:r w:rsidRPr="002F06AC">
        <w:rPr>
          <w:i/>
        </w:rPr>
        <w:t>«με βεβαίωση μέσου υπολοίπου, των εταιρικών λογαριασμών ή/και του τραπεζικού λογαριασμού των μετόχων / εταίρων, του τελευταίου μηνός πριν την υποβολή της αίτησης ένταξης ενίσχυσης, με σκοπό την απόδειξη της διαθεσιμότητας των ιδίων πόρων για την κάλυψη της ιδιωτικής συμμετοχής», και με την «i.</w:t>
      </w:r>
      <w:r w:rsidR="00F41F3F" w:rsidRPr="00F41F3F">
        <w:rPr>
          <w:i/>
        </w:rPr>
        <w:t xml:space="preserve"> </w:t>
      </w:r>
      <w:r w:rsidRPr="002F06AC">
        <w:rPr>
          <w:i/>
        </w:rPr>
        <w:t>Πρόθεση δανειοδότησης από χρηματοπιστωτικό ίδρυμα μέλος του συστήματος ΔΙΑΣ ή ii. Έγκριση με τραπεζικό δανεισμό, από χρηματοπιστωτικό ίδρυμα μέλος του συστήματος ΔΙΑΣ, με ρητή πρόβλεψη ότι το δάνειο συνάπτεται αποκλειστικά για την πραγματοποίηση του επενδυτικού σχεδίου ή iii. Απόφαση του αρμόδιου συλλογικού οργάνου της Α.Ε. (Δ.Σ. ή Γ.Σ.) για την έκδοση ομολογιακού δανείου και βεβαίωση γνωστοποίησής της στο ΓΕΜΗ».</w:t>
      </w:r>
      <w:r w:rsidRPr="002F06AC">
        <w:t xml:space="preserve"> 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  <w:rPr>
          <w:i/>
        </w:rPr>
      </w:pPr>
      <w:r w:rsidRPr="002F06AC">
        <w:t xml:space="preserve">2. Για τις υπό σύσταση επιχειρήσεις, η τεκμηρίωση της ιδίας συμμετοχής προβλέπει: </w:t>
      </w:r>
      <w:r w:rsidRPr="002F06AC">
        <w:rPr>
          <w:i/>
        </w:rPr>
        <w:t>«i. Πρόθεση δανειοδότησης από χρηματοπιστωτικό ίδρυμα μέλος του συστήματος ΔΙΑΣ για οποιοδήποτε από τα μέλη/εταίρους/μέτοχους της υπό σύσταση εταιρείας ή ii. Βεβαίωση μέσου υπολοίπου, τραπεζικού λογαριασμού της εταιρίας ή των μετόχων / εταίρων, τελευταίου μηνός πριν την υποβολή της αίτησης ενίσχυσης, με σκοπό την απόδειξη της διαθεσιμότητας των ιδίων πόρων για την κάλυψη της ιδιωτικής συμμετοχής».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t>Εύλογα, λοιπόν, γεννούνται ερωτήματα τόσο για τη μείωση του ποσοστού ενίσχυσης από το ΤΑ</w:t>
      </w:r>
      <w:r w:rsidR="00F41F3F">
        <w:t>Α</w:t>
      </w:r>
      <w:r w:rsidRPr="002F06AC">
        <w:t xml:space="preserve"> κατά 20%, όσο και για τον τρόπο τεκμηρίωσης της ιδίας συμμετοχής με χρηματικά διαθέσιμα ή δανειοδότηση.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rPr>
          <w:b/>
        </w:rPr>
        <w:t>Επειδή</w:t>
      </w:r>
      <w:r w:rsidRPr="002F06AC">
        <w:t>, σε παλιό</w:t>
      </w:r>
      <w:r w:rsidR="00F41F3F">
        <w:t>τερες προσκλήσεις (όταν υπήρχε ιδί</w:t>
      </w:r>
      <w:r w:rsidRPr="002F06AC">
        <w:t>α συμμετοχή), η ιδία συμμετοχή καλύπτονταν από τις τεκμαρτές δαπάνες όπως είναι τα λειτουργικά έξοδα των επιχειρήσεων, η απόσβεση εξοπλισμού και οι δαπάνες για τις αμοιβές του προσωπικού και δεν απαιτούνταν τεκμηριώσεις ρευστότητας,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rPr>
          <w:b/>
        </w:rPr>
        <w:t>Επειδή</w:t>
      </w:r>
      <w:r w:rsidRPr="002F06AC">
        <w:t>, η πρακτική αυτή αποκλείει τις συμπράξεις ερευνητικών φορέων και οργανώσεων των ίδιων των επενδυτών, αποτρέποντας κάθε προσπάθεια γενετικής βελτίωσης των ελληνικών φυλών,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rPr>
          <w:b/>
        </w:rPr>
        <w:t>Επειδή</w:t>
      </w:r>
      <w:r w:rsidRPr="002F06AC">
        <w:t>, η παρατεταμένη οικονομική, υγειονομική και ενεργειακή κρίση, η επισιτιστική ανασφάλεια και οι συνέπειες του πολέμου έχουν πλήξει τους παραγωγικούς φορείς της χώρας που χρειάζονται ενίσχυση και όχι αποδυνάμωση,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rPr>
          <w:b/>
        </w:rPr>
        <w:t>Επειδή</w:t>
      </w:r>
      <w:r w:rsidRPr="002F06AC">
        <w:t>, είναι χρέος της πολιτείας να στηρίξει κάθε πρωτοβουλία και προσπάθεια επένδυσης και επιστημονικής εξέλιξης,</w:t>
      </w:r>
    </w:p>
    <w:p w:rsidR="002F06AC" w:rsidRPr="002F06AC" w:rsidRDefault="002F06AC" w:rsidP="002F06AC">
      <w:pPr>
        <w:pStyle w:val="a3"/>
        <w:jc w:val="both"/>
      </w:pPr>
    </w:p>
    <w:p w:rsidR="002F06AC" w:rsidRPr="002F06AC" w:rsidRDefault="002F06AC" w:rsidP="002F06AC">
      <w:pPr>
        <w:pStyle w:val="a3"/>
        <w:jc w:val="both"/>
      </w:pPr>
      <w:r w:rsidRPr="002F06AC">
        <w:rPr>
          <w:b/>
        </w:rPr>
        <w:t>Επειδή</w:t>
      </w:r>
      <w:r w:rsidRPr="002F06AC">
        <w:t>, τα ταμειακά διαθέσιμα για τις ΜΜΕ είναι περιορισμένα και η εξεύρεση πόρων μέσω δανειοδότησης είναι δύσκολη αλλά και χρονοβόρα,</w:t>
      </w:r>
    </w:p>
    <w:p w:rsidR="002F06AC" w:rsidRPr="002F06AC" w:rsidRDefault="002F06AC" w:rsidP="002F06AC">
      <w:pPr>
        <w:pStyle w:val="a3"/>
        <w:jc w:val="both"/>
        <w:rPr>
          <w:b/>
        </w:rPr>
      </w:pPr>
    </w:p>
    <w:p w:rsidR="002F06AC" w:rsidRPr="002F06AC" w:rsidRDefault="002F06AC" w:rsidP="002F06AC">
      <w:pPr>
        <w:pStyle w:val="a3"/>
        <w:jc w:val="both"/>
        <w:rPr>
          <w:b/>
        </w:rPr>
      </w:pPr>
      <w:r w:rsidRPr="002F06AC">
        <w:rPr>
          <w:b/>
        </w:rPr>
        <w:t xml:space="preserve">Ερωτάται ο αρμόδιος Υπουργός: </w:t>
      </w:r>
    </w:p>
    <w:p w:rsidR="002F06AC" w:rsidRPr="002F06AC" w:rsidRDefault="002F06AC" w:rsidP="002F06AC">
      <w:pPr>
        <w:pStyle w:val="a3"/>
        <w:jc w:val="both"/>
        <w:rPr>
          <w:b/>
        </w:rPr>
      </w:pPr>
      <w:r w:rsidRPr="002F06AC">
        <w:rPr>
          <w:b/>
        </w:rPr>
        <w:t>1. Γιατί στην πρόσκληση η ένταση ενίσχυσης (ποσοστά ενίσχυσης) ανά κατηγορία ενισχύσεων διαμορφώνεται στο 80% και όχι στο 100%, όπως προβλέπει ο Καν. 702/2014;</w:t>
      </w:r>
    </w:p>
    <w:p w:rsidR="003C2368" w:rsidRPr="00C61566" w:rsidRDefault="002F06AC" w:rsidP="002F06AC">
      <w:pPr>
        <w:pStyle w:val="a3"/>
        <w:jc w:val="both"/>
        <w:rPr>
          <w:b/>
        </w:rPr>
      </w:pPr>
      <w:r w:rsidRPr="002F06AC">
        <w:rPr>
          <w:b/>
        </w:rPr>
        <w:t>2. Γιατί το 20% της ιδίας συμμετοχής τεκμηριώνεται με ταμειακά διαθέσιμα ή δανεισμό και όχι με τεκμαρτές δαπάνες των επιχειρήσεων, όπως ίσχυε μέχρι τώρα;</w:t>
      </w:r>
    </w:p>
    <w:p w:rsidR="002F06AC" w:rsidRPr="00C61566" w:rsidRDefault="002F06AC" w:rsidP="002F06AC">
      <w:pPr>
        <w:pStyle w:val="a3"/>
        <w:jc w:val="both"/>
        <w:rPr>
          <w:b/>
        </w:rPr>
      </w:pPr>
    </w:p>
    <w:p w:rsidR="003C2368" w:rsidRDefault="00AD5BC9" w:rsidP="003C2368">
      <w:pPr>
        <w:pStyle w:val="a3"/>
        <w:jc w:val="center"/>
        <w:rPr>
          <w:b/>
        </w:rPr>
      </w:pPr>
      <w:r>
        <w:rPr>
          <w:b/>
        </w:rPr>
        <w:t>Οι</w:t>
      </w:r>
      <w:r w:rsidR="00146677">
        <w:rPr>
          <w:b/>
        </w:rPr>
        <w:t xml:space="preserve"> Ερωτώ</w:t>
      </w:r>
      <w:r>
        <w:rPr>
          <w:b/>
        </w:rPr>
        <w:t>ντες Βουλευτές</w:t>
      </w:r>
      <w:r w:rsidR="00146677">
        <w:rPr>
          <w:b/>
        </w:rPr>
        <w:t xml:space="preserve"> </w:t>
      </w:r>
    </w:p>
    <w:p w:rsidR="000C202D" w:rsidRDefault="00EA57E4" w:rsidP="009E17EE">
      <w:pPr>
        <w:pStyle w:val="a3"/>
        <w:jc w:val="center"/>
        <w:rPr>
          <w:b/>
        </w:rPr>
      </w:pPr>
      <w:r>
        <w:rPr>
          <w:b/>
        </w:rPr>
        <w:t>Τελιγιορίδου Ολυμπία</w:t>
      </w:r>
    </w:p>
    <w:p w:rsidR="00AD5BC9" w:rsidRPr="000D6906" w:rsidRDefault="00AD5BC9" w:rsidP="009E17EE">
      <w:pPr>
        <w:pStyle w:val="a3"/>
        <w:jc w:val="center"/>
      </w:pPr>
      <w:r>
        <w:rPr>
          <w:b/>
        </w:rPr>
        <w:t>Αραχωβίτης Σταύρος</w:t>
      </w:r>
    </w:p>
    <w:sectPr w:rsidR="00AD5BC9" w:rsidRPr="000D6906" w:rsidSect="00CE3BC1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FC"/>
    <w:multiLevelType w:val="hybridMultilevel"/>
    <w:tmpl w:val="76087B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4311F"/>
    <w:multiLevelType w:val="hybridMultilevel"/>
    <w:tmpl w:val="3A5AE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4DC0"/>
    <w:multiLevelType w:val="hybridMultilevel"/>
    <w:tmpl w:val="E9283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C3D0E"/>
    <w:multiLevelType w:val="hybridMultilevel"/>
    <w:tmpl w:val="F6745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D18E4"/>
    <w:multiLevelType w:val="hybridMultilevel"/>
    <w:tmpl w:val="0CB49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E7076"/>
    <w:multiLevelType w:val="hybridMultilevel"/>
    <w:tmpl w:val="E6D869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B0E8A"/>
    <w:multiLevelType w:val="hybridMultilevel"/>
    <w:tmpl w:val="0BA06C1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BA2E22"/>
    <w:multiLevelType w:val="hybridMultilevel"/>
    <w:tmpl w:val="0F98B7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448AB"/>
    <w:multiLevelType w:val="hybridMultilevel"/>
    <w:tmpl w:val="4838E9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06BDF"/>
    <w:rsid w:val="00015335"/>
    <w:rsid w:val="000422E7"/>
    <w:rsid w:val="000717F1"/>
    <w:rsid w:val="0008402E"/>
    <w:rsid w:val="000C202D"/>
    <w:rsid w:val="000E5CAA"/>
    <w:rsid w:val="000F50E8"/>
    <w:rsid w:val="00133C70"/>
    <w:rsid w:val="00146677"/>
    <w:rsid w:val="001809AE"/>
    <w:rsid w:val="001A5AD4"/>
    <w:rsid w:val="001A62A5"/>
    <w:rsid w:val="001E02E7"/>
    <w:rsid w:val="001E64A1"/>
    <w:rsid w:val="002045C1"/>
    <w:rsid w:val="002476AE"/>
    <w:rsid w:val="00272F83"/>
    <w:rsid w:val="0027737F"/>
    <w:rsid w:val="00291161"/>
    <w:rsid w:val="002E2614"/>
    <w:rsid w:val="002E301D"/>
    <w:rsid w:val="002F06AC"/>
    <w:rsid w:val="002F64AB"/>
    <w:rsid w:val="00335AC5"/>
    <w:rsid w:val="00342F84"/>
    <w:rsid w:val="003550CF"/>
    <w:rsid w:val="003C2368"/>
    <w:rsid w:val="004C4776"/>
    <w:rsid w:val="004D520C"/>
    <w:rsid w:val="004F22B7"/>
    <w:rsid w:val="0052792B"/>
    <w:rsid w:val="00575ACA"/>
    <w:rsid w:val="005B1B24"/>
    <w:rsid w:val="005E7873"/>
    <w:rsid w:val="005F4445"/>
    <w:rsid w:val="005F7C7F"/>
    <w:rsid w:val="006008E8"/>
    <w:rsid w:val="00621812"/>
    <w:rsid w:val="00625310"/>
    <w:rsid w:val="006516AD"/>
    <w:rsid w:val="0068077E"/>
    <w:rsid w:val="0070075C"/>
    <w:rsid w:val="007445D6"/>
    <w:rsid w:val="00745561"/>
    <w:rsid w:val="0075349E"/>
    <w:rsid w:val="00755EA4"/>
    <w:rsid w:val="007C0D92"/>
    <w:rsid w:val="007C3B46"/>
    <w:rsid w:val="00804D50"/>
    <w:rsid w:val="008220FF"/>
    <w:rsid w:val="0089051F"/>
    <w:rsid w:val="008B2E42"/>
    <w:rsid w:val="008B74C3"/>
    <w:rsid w:val="008D65C8"/>
    <w:rsid w:val="00906BDF"/>
    <w:rsid w:val="0092576F"/>
    <w:rsid w:val="00950055"/>
    <w:rsid w:val="00954C55"/>
    <w:rsid w:val="009561C5"/>
    <w:rsid w:val="00967AB5"/>
    <w:rsid w:val="0099606B"/>
    <w:rsid w:val="009E17EE"/>
    <w:rsid w:val="009E3412"/>
    <w:rsid w:val="009E5787"/>
    <w:rsid w:val="00A64272"/>
    <w:rsid w:val="00A7512F"/>
    <w:rsid w:val="00A776C0"/>
    <w:rsid w:val="00AD5BC9"/>
    <w:rsid w:val="00AE1174"/>
    <w:rsid w:val="00AE3063"/>
    <w:rsid w:val="00AE3A21"/>
    <w:rsid w:val="00AF7FCE"/>
    <w:rsid w:val="00B30C55"/>
    <w:rsid w:val="00B343BB"/>
    <w:rsid w:val="00B57F7F"/>
    <w:rsid w:val="00B664E5"/>
    <w:rsid w:val="00B86D01"/>
    <w:rsid w:val="00BA6C6A"/>
    <w:rsid w:val="00C1373B"/>
    <w:rsid w:val="00C145C9"/>
    <w:rsid w:val="00C46890"/>
    <w:rsid w:val="00C61566"/>
    <w:rsid w:val="00C8201C"/>
    <w:rsid w:val="00C9187A"/>
    <w:rsid w:val="00CA75C6"/>
    <w:rsid w:val="00CC6B28"/>
    <w:rsid w:val="00CE3BC1"/>
    <w:rsid w:val="00CF4481"/>
    <w:rsid w:val="00D23B67"/>
    <w:rsid w:val="00D4428F"/>
    <w:rsid w:val="00D6042B"/>
    <w:rsid w:val="00DB6A2A"/>
    <w:rsid w:val="00E15C6D"/>
    <w:rsid w:val="00E17879"/>
    <w:rsid w:val="00E43ED5"/>
    <w:rsid w:val="00E70650"/>
    <w:rsid w:val="00EA0B54"/>
    <w:rsid w:val="00EA57E4"/>
    <w:rsid w:val="00EB5D4B"/>
    <w:rsid w:val="00EE27DF"/>
    <w:rsid w:val="00F06BCC"/>
    <w:rsid w:val="00F23D41"/>
    <w:rsid w:val="00F35049"/>
    <w:rsid w:val="00F41F3F"/>
    <w:rsid w:val="00F821AB"/>
    <w:rsid w:val="00F867B0"/>
    <w:rsid w:val="00F9211F"/>
    <w:rsid w:val="00FE5A09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6BDF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90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06BDF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E3063"/>
    <w:rPr>
      <w:b/>
      <w:bCs/>
    </w:rPr>
  </w:style>
  <w:style w:type="paragraph" w:styleId="a6">
    <w:name w:val="List Paragraph"/>
    <w:basedOn w:val="a"/>
    <w:uiPriority w:val="34"/>
    <w:qFormat/>
    <w:rsid w:val="007C3B46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2021-08-19T09:34:00Z</cp:lastPrinted>
  <dcterms:created xsi:type="dcterms:W3CDTF">2022-11-23T08:53:00Z</dcterms:created>
  <dcterms:modified xsi:type="dcterms:W3CDTF">2022-11-23T12:58:00Z</dcterms:modified>
</cp:coreProperties>
</file>